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AB" w:rsidRPr="005F70D4" w:rsidRDefault="008316AB" w:rsidP="008316AB">
      <w:pPr>
        <w:widowControl/>
        <w:shd w:val="clear" w:color="auto" w:fill="FFFFFF"/>
        <w:spacing w:line="560" w:lineRule="exact"/>
        <w:jc w:val="left"/>
        <w:rPr>
          <w:rFonts w:ascii="Times New Roman" w:eastAsia="方正大标宋简体" w:hAnsi="Times New Roman"/>
          <w:sz w:val="42"/>
          <w:szCs w:val="42"/>
        </w:rPr>
      </w:pPr>
      <w:r w:rsidRPr="005F70D4">
        <w:rPr>
          <w:rFonts w:ascii="Times New Roman" w:eastAsia="方正大标宋简体" w:hAnsi="Times New Roman"/>
          <w:sz w:val="42"/>
          <w:szCs w:val="42"/>
        </w:rPr>
        <w:t>附件</w:t>
      </w:r>
      <w:bookmarkStart w:id="0" w:name="OLE_LINK537"/>
      <w:r w:rsidRPr="005F70D4">
        <w:rPr>
          <w:rFonts w:ascii="Times New Roman" w:eastAsia="方正大标宋简体" w:hAnsi="Times New Roman"/>
          <w:sz w:val="42"/>
          <w:szCs w:val="42"/>
        </w:rPr>
        <w:t>1</w:t>
      </w:r>
    </w:p>
    <w:p w:rsidR="008316AB" w:rsidRDefault="008316AB" w:rsidP="008316AB">
      <w:pPr>
        <w:spacing w:line="360" w:lineRule="auto"/>
        <w:jc w:val="center"/>
        <w:rPr>
          <w:rFonts w:ascii="方正大标宋简体" w:eastAsia="方正大标宋简体" w:hAnsi="宋体"/>
          <w:b/>
          <w:sz w:val="42"/>
          <w:szCs w:val="42"/>
        </w:rPr>
      </w:pPr>
      <w:r>
        <w:rPr>
          <w:rFonts w:ascii="方正大标宋简体" w:eastAsia="方正大标宋简体" w:hAnsi="宋体" w:hint="eastAsia"/>
          <w:b/>
          <w:sz w:val="42"/>
          <w:szCs w:val="42"/>
        </w:rPr>
        <w:t>修订说明</w:t>
      </w:r>
      <w:bookmarkEnd w:id="0"/>
    </w:p>
    <w:p w:rsidR="008316AB" w:rsidRDefault="008316AB" w:rsidP="008316AB">
      <w:pPr>
        <w:tabs>
          <w:tab w:val="left" w:pos="4905"/>
        </w:tabs>
        <w:ind w:firstLineChars="200" w:firstLine="600"/>
        <w:rPr>
          <w:rFonts w:ascii="Times New Roman" w:eastAsia="方正仿宋简体" w:hAnsi="Times New Roman"/>
          <w:sz w:val="30"/>
          <w:szCs w:val="30"/>
        </w:rPr>
      </w:pPr>
    </w:p>
    <w:p w:rsidR="008316AB" w:rsidRPr="002E17E5" w:rsidRDefault="008316AB" w:rsidP="008316AB">
      <w:pPr>
        <w:tabs>
          <w:tab w:val="left" w:pos="4905"/>
        </w:tabs>
        <w:spacing w:line="560" w:lineRule="exact"/>
        <w:ind w:firstLineChars="200" w:firstLine="600"/>
        <w:rPr>
          <w:rFonts w:ascii="Times New Roman" w:eastAsia="方正仿宋简体" w:hAnsi="Times New Roman"/>
          <w:sz w:val="30"/>
          <w:szCs w:val="30"/>
        </w:rPr>
      </w:pPr>
      <w:r w:rsidRPr="002E17E5">
        <w:rPr>
          <w:rFonts w:ascii="Times New Roman" w:eastAsia="方正仿宋简体" w:hAnsi="Times New Roman" w:hint="eastAsia"/>
          <w:sz w:val="30"/>
          <w:szCs w:val="30"/>
        </w:rPr>
        <w:t>为持续推动低硫燃料油期货功能有效发挥，提升期货市场服务实体产业深度广度，促进低硫燃料油期货服务实体企业高质量发展，上海国际能源交易中心在广泛征求产业客户、会员单位、交割仓库和指定检验机构等意见建议后，</w:t>
      </w:r>
      <w:r>
        <w:rPr>
          <w:rFonts w:ascii="Times New Roman" w:eastAsia="方正仿宋简体" w:hAnsi="Times New Roman" w:hint="eastAsia"/>
          <w:sz w:val="30"/>
          <w:szCs w:val="30"/>
        </w:rPr>
        <w:t>拟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对《上海国际能源交易中心低硫燃料油期货标准合约》附件（下称《低硫燃料油期货合约》）进行修订。具体情况如下：</w:t>
      </w:r>
    </w:p>
    <w:p w:rsidR="00B42159" w:rsidRPr="008316AB" w:rsidRDefault="008316AB" w:rsidP="008316AB">
      <w:r w:rsidRPr="002E17E5">
        <w:rPr>
          <w:rFonts w:ascii="Times New Roman" w:eastAsia="方正仿宋简体" w:hAnsi="Times New Roman" w:hint="eastAsia"/>
          <w:sz w:val="30"/>
          <w:szCs w:val="30"/>
        </w:rPr>
        <w:t>拟修订《低硫燃料油期货合约》附件中的“上海国际能源交易中心低硫燃料油质量标准”，将“苯乙烯（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mg/kg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）”限度由“不大于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50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”修改为“不大于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300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”、“苯酚（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mg/kg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）”限度由“不大于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50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”修改为“不大于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300</w:t>
      </w:r>
      <w:r w:rsidRPr="002E17E5">
        <w:rPr>
          <w:rFonts w:ascii="Times New Roman" w:eastAsia="方正仿宋简体" w:hAnsi="Times New Roman" w:hint="eastAsia"/>
          <w:sz w:val="30"/>
          <w:szCs w:val="30"/>
        </w:rPr>
        <w:t>”</w:t>
      </w:r>
      <w:r>
        <w:rPr>
          <w:rFonts w:ascii="Times New Roman" w:eastAsia="方正仿宋简体" w:hAnsi="Times New Roman" w:hint="eastAsia"/>
          <w:sz w:val="30"/>
          <w:szCs w:val="30"/>
        </w:rPr>
        <w:t>。</w:t>
      </w:r>
    </w:p>
    <w:sectPr w:rsidR="00B42159" w:rsidRPr="008316AB" w:rsidSect="00B42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6AB"/>
    <w:rsid w:val="008316AB"/>
    <w:rsid w:val="00B4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>SHFE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2025-05-16T08:03:00Z</dcterms:created>
  <dcterms:modified xsi:type="dcterms:W3CDTF">2025-05-16T08:03:00Z</dcterms:modified>
</cp:coreProperties>
</file>