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ascii="Times New Roman" w:hAnsi="Times New Roman" w:eastAsia="方正大标宋简体" w:cs="Times New Roman"/>
          <w:b/>
          <w:bCs/>
          <w:sz w:val="30"/>
          <w:szCs w:val="30"/>
        </w:rPr>
      </w:pPr>
      <w:r>
        <w:rPr>
          <w:rFonts w:hint="eastAsia" w:ascii="Times New Roman" w:hAnsi="Times New Roman" w:eastAsia="方正大标宋简体" w:cs="Times New Roman"/>
          <w:b/>
          <w:bCs/>
          <w:sz w:val="30"/>
          <w:szCs w:val="30"/>
        </w:rPr>
        <w:t xml:space="preserve">Annex </w:t>
      </w:r>
      <w:r>
        <w:rPr>
          <w:rFonts w:hint="eastAsia" w:ascii="Times New Roman" w:hAnsi="Times New Roman" w:eastAsia="方正大标宋简体" w:cs="Times New Roman"/>
          <w:b/>
          <w:bCs/>
          <w:sz w:val="30"/>
          <w:szCs w:val="30"/>
          <w:lang w:val="en-US" w:eastAsia="zh-CN"/>
        </w:rPr>
        <w:t>2</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sz w:val="40"/>
          <w:szCs w:val="40"/>
        </w:rPr>
      </w:pPr>
      <w:r>
        <w:rPr>
          <w:rFonts w:hint="eastAsia" w:ascii="Times New Roman" w:hAnsi="Times New Roman" w:eastAsia="方正大标宋简体" w:cs="Times New Roman"/>
          <w:b/>
          <w:bCs/>
          <w:sz w:val="40"/>
          <w:szCs w:val="40"/>
        </w:rPr>
        <w:t>Adminis</w:t>
      </w:r>
      <w:bookmarkStart w:id="20" w:name="_GoBack"/>
      <w:bookmarkEnd w:id="20"/>
      <w:r>
        <w:rPr>
          <w:rFonts w:hint="eastAsia" w:ascii="Times New Roman" w:hAnsi="Times New Roman" w:eastAsia="方正大标宋简体" w:cs="Times New Roman"/>
          <w:b/>
          <w:bCs/>
          <w:sz w:val="40"/>
          <w:szCs w:val="40"/>
        </w:rPr>
        <w:t>tration of Accounts Involving Actual Control Relationship Rules</w:t>
      </w:r>
      <w:r>
        <w:rPr>
          <w:rFonts w:ascii="Times New Roman" w:hAnsi="Times New Roman" w:eastAsia="方正大标宋简体" w:cs="Times New Roman"/>
          <w:b/>
          <w:bCs/>
          <w:sz w:val="40"/>
          <w:szCs w:val="40"/>
        </w:rPr>
        <w:t xml:space="preserve"> of the Shanghai International Energy Exchange</w:t>
      </w:r>
    </w:p>
    <w:p>
      <w:pPr>
        <w:widowControl/>
        <w:snapToGrid w:val="0"/>
        <w:spacing w:line="256" w:lineRule="auto"/>
        <w:jc w:val="center"/>
        <w:rPr>
          <w:rFonts w:ascii="Times New Roman" w:hAnsi="Times New Roman" w:eastAsia="方正大标宋简体" w:cs="Times New Roman"/>
          <w:sz w:val="30"/>
          <w:szCs w:val="30"/>
        </w:rPr>
      </w:pPr>
      <w:r>
        <w:rPr>
          <w:rFonts w:ascii="Times New Roman" w:hAnsi="Times New Roman" w:eastAsia="方正大标宋简体" w:cs="Times New Roman"/>
          <w:sz w:val="30"/>
          <w:szCs w:val="30"/>
        </w:rPr>
        <w:t xml:space="preserve"> ( </w:t>
      </w:r>
      <w:r>
        <w:rPr>
          <w:rFonts w:hint="eastAsia" w:ascii="Times New Roman" w:hAnsi="Times New Roman" w:eastAsia="方正大标宋简体" w:cs="Times New Roman"/>
          <w:sz w:val="30"/>
          <w:szCs w:val="30"/>
          <w:lang w:val="en-US" w:eastAsia="zh-CN"/>
        </w:rPr>
        <w:t>revised</w:t>
      </w:r>
      <w:r>
        <w:rPr>
          <w:rFonts w:ascii="Times New Roman" w:hAnsi="Times New Roman" w:eastAsia="方正大标宋简体" w:cs="Times New Roman"/>
          <w:sz w:val="30"/>
          <w:szCs w:val="30"/>
        </w:rPr>
        <w:t>)</w:t>
      </w:r>
    </w:p>
    <w:p>
      <w:pPr>
        <w:widowControl/>
        <w:jc w:val="center"/>
        <w:rPr>
          <w:rFonts w:ascii="Times New Roman" w:hAnsi="Times New Roman" w:eastAsia="宋体" w:cs="Times New Roman"/>
          <w:color w:val="000000"/>
          <w:kern w:val="0"/>
          <w:sz w:val="24"/>
          <w:szCs w:val="24"/>
          <w:shd w:val="clear" w:color="auto" w:fill="FFFFFF"/>
          <w:lang w:bidi="ar"/>
        </w:rPr>
      </w:pPr>
      <w:r>
        <w:rPr>
          <w:rFonts w:ascii="Times New Roman" w:hAnsi="Times New Roman" w:eastAsia="宋体" w:cs="Times New Roman"/>
          <w:color w:val="000000"/>
          <w:kern w:val="0"/>
          <w:sz w:val="24"/>
          <w:szCs w:val="24"/>
          <w:shd w:val="clear" w:color="auto" w:fill="FFFFFF"/>
          <w:lang w:bidi="ar"/>
        </w:rPr>
        <w:t>(</w:t>
      </w:r>
      <w:r>
        <w:rPr>
          <w:rFonts w:hint="eastAsia" w:ascii="Times New Roman" w:hAnsi="Times New Roman" w:eastAsia="宋体" w:cs="Times New Roman"/>
          <w:color w:val="000000"/>
          <w:kern w:val="0"/>
          <w:sz w:val="22"/>
          <w:shd w:val="clear" w:color="auto" w:fill="FFFFFF"/>
          <w:lang w:bidi="ar"/>
        </w:rPr>
        <w:t>Released and implemented on March 20,2018, revised on November 26,2021 for the first time，October 20, 2026 for the second time</w:t>
      </w:r>
      <w:r>
        <w:rPr>
          <w:rFonts w:ascii="Times New Roman" w:hAnsi="Times New Roman" w:eastAsia="宋体" w:cs="Times New Roman"/>
          <w:color w:val="000000"/>
          <w:kern w:val="0"/>
          <w:sz w:val="24"/>
          <w:szCs w:val="24"/>
          <w:shd w:val="clear" w:color="auto" w:fill="FFFFFF"/>
          <w:lang w:bidi="ar"/>
        </w:rPr>
        <w:t>)</w:t>
      </w:r>
    </w:p>
    <w:p>
      <w:pPr>
        <w:widowControl/>
        <w:jc w:val="both"/>
        <w:rPr>
          <w:rFonts w:ascii="Times New Roman" w:hAnsi="Times New Roman" w:eastAsia="宋体" w:cs="Times New Roman"/>
          <w:color w:val="000000"/>
          <w:kern w:val="0"/>
          <w:sz w:val="24"/>
          <w:szCs w:val="24"/>
          <w:shd w:val="clear" w:color="auto" w:fill="FFFFFF"/>
          <w:lang w:bidi="ar"/>
        </w:rPr>
      </w:pPr>
    </w:p>
    <w:p>
      <w:pPr>
        <w:snapToGrid w:val="0"/>
        <w:spacing w:after="312" w:afterLines="100" w:line="276" w:lineRule="auto"/>
        <w:jc w:val="center"/>
        <w:rPr>
          <w:rFonts w:ascii="Times New Roman" w:hAnsi="Times New Roman"/>
          <w:b/>
          <w:bCs/>
          <w:kern w:val="0"/>
          <w:sz w:val="22"/>
        </w:rPr>
      </w:pPr>
      <w:bookmarkStart w:id="0" w:name="_Toc501635897"/>
      <w:r>
        <w:rPr>
          <w:rFonts w:ascii="Times New Roman" w:hAnsi="Times New Roman"/>
          <w:b/>
          <w:bCs/>
          <w:kern w:val="0"/>
          <w:sz w:val="22"/>
        </w:rPr>
        <w:t>Chapter 1</w:t>
      </w:r>
      <w:r>
        <w:rPr>
          <w:rFonts w:ascii="Times New Roman" w:hAnsi="Times New Roman"/>
          <w:b/>
          <w:bCs/>
          <w:kern w:val="0"/>
          <w:sz w:val="22"/>
        </w:rPr>
        <w:tab/>
      </w:r>
      <w:r>
        <w:rPr>
          <w:rFonts w:ascii="Times New Roman" w:hAnsi="Times New Roman"/>
          <w:b/>
          <w:bCs/>
          <w:kern w:val="0"/>
          <w:sz w:val="22"/>
        </w:rPr>
        <w:t>General Provisions</w:t>
      </w:r>
      <w:bookmarkEnd w:id="0"/>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w:t>
      </w:r>
      <w:r>
        <w:rPr>
          <w:rFonts w:ascii="Times New Roman" w:hAnsi="Times New Roman" w:eastAsia="等线"/>
          <w:kern w:val="0"/>
          <w:sz w:val="22"/>
        </w:rPr>
        <w:tab/>
      </w:r>
      <w:r>
        <w:rPr>
          <w:rFonts w:ascii="Times New Roman" w:hAnsi="Times New Roman" w:eastAsia="等线"/>
          <w:kern w:val="0"/>
          <w:sz w:val="22"/>
        </w:rPr>
        <w:t xml:space="preserve">These </w:t>
      </w:r>
      <w:r>
        <w:rPr>
          <w:rFonts w:ascii="Times New Roman" w:hAnsi="Times New Roman" w:eastAsia="等线"/>
          <w:i/>
          <w:kern w:val="0"/>
          <w:sz w:val="22"/>
        </w:rPr>
        <w:t xml:space="preserve">Rules of the Shanghai International Energy Exchange for the Administration of </w:t>
      </w:r>
      <w:bookmarkStart w:id="1" w:name="OLE_LINK3"/>
      <w:bookmarkStart w:id="2" w:name="OLE_LINK4"/>
      <w:r>
        <w:rPr>
          <w:rFonts w:ascii="Times New Roman" w:hAnsi="Times New Roman" w:eastAsia="等线"/>
          <w:i/>
          <w:kern w:val="0"/>
          <w:sz w:val="22"/>
        </w:rPr>
        <w:t>Accounts Involving Actual Control Relationship</w:t>
      </w:r>
      <w:bookmarkEnd w:id="1"/>
      <w:bookmarkEnd w:id="2"/>
      <w:r>
        <w:rPr>
          <w:rFonts w:ascii="Times New Roman" w:hAnsi="Times New Roman" w:eastAsia="等线"/>
          <w:i/>
          <w:kern w:val="0"/>
          <w:sz w:val="22"/>
        </w:rPr>
        <w:t xml:space="preserve"> </w:t>
      </w:r>
      <w:r>
        <w:rPr>
          <w:rFonts w:ascii="Times New Roman" w:hAnsi="Times New Roman" w:eastAsia="等线"/>
          <w:kern w:val="0"/>
          <w:sz w:val="22"/>
        </w:rPr>
        <w:t>(hereinafter referred to as the “</w:t>
      </w:r>
      <w:r>
        <w:rPr>
          <w:rFonts w:ascii="Times New Roman" w:hAnsi="Times New Roman" w:eastAsia="等线"/>
          <w:i/>
          <w:kern w:val="0"/>
          <w:sz w:val="22"/>
        </w:rPr>
        <w:t>Rules</w:t>
      </w:r>
      <w:r>
        <w:rPr>
          <w:rFonts w:ascii="Times New Roman" w:hAnsi="Times New Roman" w:eastAsia="等线"/>
          <w:kern w:val="0"/>
          <w:sz w:val="22"/>
        </w:rPr>
        <w:t xml:space="preserve">”) are formulated to facilitate the effective administration of accounts involving actual control relationship, safeguard the orderliness of the futures market, and promote its sound development, in accordance with </w:t>
      </w:r>
      <w:bookmarkStart w:id="3" w:name="OLE_LINK29"/>
      <w:r>
        <w:rPr>
          <w:rFonts w:ascii="Times New Roman" w:hAnsi="Times New Roman" w:eastAsia="等线"/>
          <w:kern w:val="0"/>
          <w:sz w:val="22"/>
        </w:rPr>
        <w:t>the</w:t>
      </w:r>
      <w:bookmarkEnd w:id="3"/>
      <w:r>
        <w:rPr>
          <w:rFonts w:ascii="Times New Roman" w:hAnsi="Times New Roman" w:eastAsia="等线"/>
          <w:kern w:val="0"/>
          <w:sz w:val="22"/>
        </w:rPr>
        <w:t xml:space="preserve"> </w:t>
      </w:r>
      <w:r>
        <w:rPr>
          <w:rFonts w:ascii="Times New Roman" w:hAnsi="Times New Roman" w:eastAsia="等线"/>
          <w:i/>
          <w:kern w:val="0"/>
          <w:sz w:val="22"/>
        </w:rPr>
        <w:t>General Exchange Rules of the Shanghai International Energy Exchange</w:t>
      </w:r>
      <w:r>
        <w:rPr>
          <w:rFonts w:ascii="Times New Roman" w:hAnsi="Times New Roman" w:eastAsia="等线"/>
          <w:kern w:val="0"/>
          <w:sz w:val="22"/>
        </w:rPr>
        <w:t>, the</w:t>
      </w:r>
      <w:r>
        <w:rPr>
          <w:rFonts w:ascii="Times New Roman" w:hAnsi="Times New Roman" w:eastAsia="等线"/>
          <w:i/>
          <w:kern w:val="0"/>
          <w:sz w:val="22"/>
        </w:rPr>
        <w:t xml:space="preserve"> Risk Management Rules of the Shanghai International Energy Exchange</w:t>
      </w:r>
      <w:r>
        <w:rPr>
          <w:rFonts w:ascii="Times New Roman" w:hAnsi="Times New Roman" w:eastAsia="等线"/>
          <w:kern w:val="0"/>
          <w:sz w:val="22"/>
        </w:rPr>
        <w:t xml:space="preserve"> (hereinafter referred to as the “</w:t>
      </w:r>
      <w:r>
        <w:rPr>
          <w:rFonts w:ascii="Times New Roman" w:hAnsi="Times New Roman" w:eastAsia="等线"/>
          <w:i/>
          <w:kern w:val="0"/>
          <w:sz w:val="22"/>
        </w:rPr>
        <w:t>Risk Management Rules</w:t>
      </w:r>
      <w:r>
        <w:rPr>
          <w:rFonts w:ascii="Times New Roman" w:hAnsi="Times New Roman" w:eastAsia="等线"/>
          <w:kern w:val="0"/>
          <w:sz w:val="22"/>
        </w:rPr>
        <w:t>”), the</w:t>
      </w:r>
      <w:r>
        <w:rPr>
          <w:rFonts w:ascii="Times New Roman" w:hAnsi="Times New Roman" w:eastAsia="等线"/>
          <w:i/>
          <w:kern w:val="0"/>
          <w:sz w:val="22"/>
        </w:rPr>
        <w:t xml:space="preserve"> Enforcement Rules of the Shanghai International Energy Exchange </w:t>
      </w:r>
      <w:r>
        <w:rPr>
          <w:rFonts w:ascii="Times New Roman" w:hAnsi="Times New Roman" w:eastAsia="等线"/>
          <w:kern w:val="0"/>
          <w:sz w:val="22"/>
        </w:rPr>
        <w:t>(hereinafter referred to as the “</w:t>
      </w:r>
      <w:r>
        <w:rPr>
          <w:rFonts w:ascii="Times New Roman" w:hAnsi="Times New Roman" w:eastAsia="等线"/>
          <w:i/>
          <w:kern w:val="0"/>
          <w:sz w:val="22"/>
        </w:rPr>
        <w:t>Enforcement Rules</w:t>
      </w:r>
      <w:r>
        <w:rPr>
          <w:rFonts w:ascii="Times New Roman" w:hAnsi="Times New Roman" w:eastAsia="等线"/>
          <w:kern w:val="0"/>
          <w:sz w:val="22"/>
        </w:rPr>
        <w:t>”) and other relevant rules.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2</w:t>
      </w:r>
      <w:r>
        <w:rPr>
          <w:rFonts w:ascii="Times New Roman" w:hAnsi="Times New Roman" w:eastAsia="等线"/>
          <w:b/>
          <w:kern w:val="0"/>
          <w:sz w:val="22"/>
        </w:rPr>
        <w:tab/>
      </w:r>
      <w:r>
        <w:rPr>
          <w:rFonts w:ascii="Times New Roman" w:hAnsi="Times New Roman" w:eastAsia="等线"/>
          <w:kern w:val="0"/>
          <w:sz w:val="22"/>
        </w:rPr>
        <w:t>Futures Firm Members (hereinafter referred to as “FF Members”), Overseas Special Brokerage Participants (hereinafter referred to as “OSBPs”), and Overseas Intermediaries (collectively, “Account Opening Institutions”)</w:t>
      </w:r>
      <w:r>
        <w:rPr>
          <w:rFonts w:hint="eastAsia" w:ascii="Times New Roman" w:hAnsi="Times New Roman" w:eastAsia="等线"/>
          <w:kern w:val="0"/>
          <w:sz w:val="22"/>
        </w:rPr>
        <w:t xml:space="preserve"> </w:t>
      </w:r>
      <w:r>
        <w:rPr>
          <w:rFonts w:ascii="Times New Roman" w:hAnsi="Times New Roman" w:eastAsia="等线"/>
          <w:kern w:val="0"/>
          <w:sz w:val="22"/>
        </w:rPr>
        <w:t>shall inform their Clients of the obligation to file their accounts involving actual control relationship, duly supervise such accounts, archive and securely store materials relating to account filing and administration, and keep the information filed by the Clients confidential.</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3</w:t>
      </w:r>
      <w:r>
        <w:rPr>
          <w:rFonts w:ascii="Times New Roman" w:hAnsi="Times New Roman" w:eastAsia="等线"/>
          <w:kern w:val="0"/>
          <w:sz w:val="22"/>
        </w:rPr>
        <w:tab/>
      </w:r>
      <w:r>
        <w:rPr>
          <w:rFonts w:ascii="Times New Roman" w:hAnsi="Times New Roman" w:eastAsia="等线"/>
          <w:kern w:val="0"/>
          <w:sz w:val="22"/>
        </w:rPr>
        <w:t xml:space="preserve">When engaging in futures trading, </w:t>
      </w:r>
      <w:bookmarkStart w:id="4" w:name="_Hlk489866024"/>
      <w:r>
        <w:rPr>
          <w:rFonts w:ascii="Times New Roman" w:hAnsi="Times New Roman" w:eastAsia="等线"/>
          <w:kern w:val="0"/>
          <w:sz w:val="22"/>
        </w:rPr>
        <w:t>Non-Futures Firm Members (hereinafter referred to as “Non-FF Members”), Overseas Special Non-Brokerage Participants (hereinafter referred to as “OSNBPs”)</w:t>
      </w:r>
      <w:bookmarkEnd w:id="4"/>
      <w:r>
        <w:rPr>
          <w:rFonts w:ascii="Times New Roman" w:hAnsi="Times New Roman" w:eastAsia="等线"/>
          <w:kern w:val="0"/>
          <w:sz w:val="22"/>
        </w:rPr>
        <w:t xml:space="preserve">, and Clients shall comply with the laws, regulations, and administrative rules of the People’s Republic of China and the business rules of the Shanghai International Energy Exchange (hereinafter referred to as “the Exchange”) and accept the administration of the Exchange regarding accounts involving actual control relationship. Clients shall additionally accept the administration of </w:t>
      </w:r>
      <w:r>
        <w:rPr>
          <w:rFonts w:hint="eastAsia" w:ascii="Times New Roman" w:hAnsi="Times New Roman" w:eastAsia="等线"/>
          <w:kern w:val="0"/>
          <w:sz w:val="22"/>
        </w:rPr>
        <w:t>A</w:t>
      </w:r>
      <w:r>
        <w:rPr>
          <w:rFonts w:ascii="Times New Roman" w:hAnsi="Times New Roman" w:eastAsia="等线"/>
          <w:kern w:val="0"/>
          <w:sz w:val="22"/>
        </w:rPr>
        <w:t xml:space="preserve">ccount </w:t>
      </w:r>
      <w:r>
        <w:rPr>
          <w:rFonts w:hint="eastAsia" w:ascii="Times New Roman" w:hAnsi="Times New Roman" w:eastAsia="等线"/>
          <w:kern w:val="0"/>
          <w:sz w:val="22"/>
        </w:rPr>
        <w:t>O</w:t>
      </w:r>
      <w:r>
        <w:rPr>
          <w:rFonts w:ascii="Times New Roman" w:hAnsi="Times New Roman" w:eastAsia="等线"/>
          <w:kern w:val="0"/>
          <w:sz w:val="22"/>
        </w:rPr>
        <w:t xml:space="preserve">pening </w:t>
      </w:r>
      <w:r>
        <w:rPr>
          <w:rFonts w:hint="eastAsia" w:ascii="Times New Roman" w:hAnsi="Times New Roman" w:eastAsia="等线"/>
          <w:kern w:val="0"/>
          <w:sz w:val="22"/>
        </w:rPr>
        <w:t>I</w:t>
      </w:r>
      <w:r>
        <w:rPr>
          <w:rFonts w:ascii="Times New Roman" w:hAnsi="Times New Roman" w:eastAsia="等线"/>
          <w:kern w:val="0"/>
          <w:sz w:val="22"/>
        </w:rPr>
        <w:t>nstitutions , regarding such accounts.</w:t>
      </w:r>
    </w:p>
    <w:p>
      <w:pPr>
        <w:snapToGrid w:val="0"/>
        <w:spacing w:after="312" w:afterLines="100" w:line="276" w:lineRule="auto"/>
        <w:jc w:val="center"/>
        <w:rPr>
          <w:rFonts w:ascii="Times New Roman" w:hAnsi="Times New Roman"/>
          <w:b/>
          <w:bCs/>
          <w:kern w:val="0"/>
          <w:sz w:val="22"/>
        </w:rPr>
      </w:pPr>
      <w:bookmarkStart w:id="5" w:name="_Toc501635898"/>
      <w:r>
        <w:rPr>
          <w:rFonts w:ascii="Times New Roman" w:hAnsi="Times New Roman"/>
          <w:b/>
          <w:bCs/>
          <w:kern w:val="0"/>
          <w:sz w:val="22"/>
        </w:rPr>
        <w:t>Chapter 2</w:t>
      </w:r>
      <w:r>
        <w:rPr>
          <w:rFonts w:ascii="Times New Roman" w:hAnsi="Times New Roman"/>
          <w:b/>
          <w:bCs/>
          <w:kern w:val="0"/>
          <w:sz w:val="22"/>
        </w:rPr>
        <w:tab/>
      </w:r>
      <w:r>
        <w:rPr>
          <w:rFonts w:ascii="Times New Roman" w:hAnsi="Times New Roman"/>
          <w:b/>
          <w:bCs/>
          <w:kern w:val="0"/>
          <w:sz w:val="22"/>
        </w:rPr>
        <w:t>Account Identification</w:t>
      </w:r>
      <w:bookmarkEnd w:id="5"/>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4</w:t>
      </w:r>
      <w:r>
        <w:rPr>
          <w:rFonts w:ascii="Times New Roman" w:hAnsi="Times New Roman" w:eastAsia="等线"/>
          <w:kern w:val="0"/>
          <w:sz w:val="22"/>
        </w:rPr>
        <w:tab/>
      </w:r>
      <w:r>
        <w:rPr>
          <w:rFonts w:ascii="Times New Roman" w:hAnsi="Times New Roman" w:eastAsia="等线"/>
          <w:kern w:val="0"/>
          <w:sz w:val="22"/>
        </w:rPr>
        <w:t xml:space="preserve">“Actual control” refers to the action or ability of any person (whether an individual or </w:t>
      </w:r>
      <w:bookmarkStart w:id="6" w:name="OLE_LINK30"/>
      <w:r>
        <w:rPr>
          <w:rFonts w:ascii="Times New Roman" w:hAnsi="Times New Roman" w:eastAsia="等线"/>
          <w:kern w:val="0"/>
          <w:sz w:val="22"/>
        </w:rPr>
        <w:t>institution</w:t>
      </w:r>
      <w:bookmarkEnd w:id="6"/>
      <w:r>
        <w:rPr>
          <w:rFonts w:ascii="Times New Roman" w:hAnsi="Times New Roman" w:eastAsia="等线"/>
          <w:kern w:val="0"/>
          <w:sz w:val="22"/>
        </w:rPr>
        <w:t>) to control or to significantly influence the trading decisions of another person (whether an individual or institution) by virtue of its powers including the power to manage, use, receive incomes from, or dispose of the futures account of the latter person.</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5</w:t>
      </w:r>
      <w:r>
        <w:rPr>
          <w:rFonts w:ascii="Times New Roman" w:hAnsi="Times New Roman" w:eastAsia="等线"/>
          <w:kern w:val="0"/>
          <w:sz w:val="22"/>
        </w:rPr>
        <w:tab/>
      </w:r>
      <w:r>
        <w:rPr>
          <w:rFonts w:ascii="Times New Roman" w:hAnsi="Times New Roman" w:eastAsia="等线"/>
          <w:kern w:val="0"/>
          <w:sz w:val="22"/>
        </w:rPr>
        <w:t>By the principle of “substance over form”, a person is deemed to have actual control over the futures account of another person during futures trading if the first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authorized person for account opening, authorized trader, authorized person for fund transfer, settlement statement verifier, or any other type of authorization engaged by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legal representative, principal partner, director, supervisor, senior manager, etc. of the latter person, or shares the same legal representative, principal partner, director, supervisor, or senior manager, etc. with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the spouse of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a parent, child, or sibling of the latter person and has the decision-making power or a significant influence over the day-to-day trades made through the futures account of 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has the decision-making power or a significant influence over the day-to-day trades made through the futures account of the latter person by virtue of investment, contractual or financing arrangement, or other arrangements;</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hint="eastAsia" w:ascii="Times New Roman" w:hAnsi="Times New Roman"/>
          <w:sz w:val="22"/>
        </w:rPr>
        <w:t xml:space="preserve">has identical trading behaviors </w:t>
      </w:r>
      <w:r>
        <w:rPr>
          <w:rFonts w:ascii="Times New Roman" w:hAnsi="Times New Roman"/>
          <w:sz w:val="22"/>
        </w:rPr>
        <w:t>with the latter person</w:t>
      </w:r>
      <w:r>
        <w:rPr>
          <w:rFonts w:hint="eastAsia" w:ascii="Times New Roman" w:hAnsi="Times New Roman"/>
          <w:sz w:val="22"/>
        </w:rPr>
        <w:t xml:space="preserve"> </w:t>
      </w:r>
      <w:r>
        <w:rPr>
          <w:rFonts w:ascii="Times New Roman" w:hAnsi="Times New Roman"/>
          <w:sz w:val="22"/>
        </w:rPr>
        <w:t xml:space="preserve">and either person provides futures trading funds to the other person, or </w:t>
      </w:r>
      <w:r>
        <w:rPr>
          <w:rFonts w:hint="eastAsia" w:ascii="Times New Roman" w:hAnsi="Times New Roman"/>
          <w:sz w:val="22"/>
        </w:rPr>
        <w:t xml:space="preserve">the first person has identical trading behaviors and </w:t>
      </w:r>
      <w:r>
        <w:rPr>
          <w:rFonts w:ascii="Times New Roman" w:hAnsi="Times New Roman"/>
          <w:sz w:val="22"/>
        </w:rPr>
        <w:t xml:space="preserve">trading terminal information </w:t>
      </w:r>
      <w:r>
        <w:rPr>
          <w:rFonts w:hint="eastAsia" w:ascii="Times New Roman" w:hAnsi="Times New Roman"/>
          <w:sz w:val="22"/>
        </w:rPr>
        <w:t xml:space="preserve">with </w:t>
      </w:r>
      <w:r>
        <w:rPr>
          <w:rFonts w:ascii="Times New Roman" w:hAnsi="Times New Roman"/>
          <w:sz w:val="22"/>
        </w:rPr>
        <w:t>the latter person;</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has the decision-making power or a significant influence over the day-to-day trades made through two or more futures accounts of the latter person; or</w:t>
      </w:r>
    </w:p>
    <w:p>
      <w:pPr>
        <w:numPr>
          <w:ilvl w:val="0"/>
          <w:numId w:val="1"/>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is under any other circumstances prescribed by the China Securities Regulatory Commission or identified by the Exchange.</w:t>
      </w:r>
    </w:p>
    <w:p>
      <w:pPr>
        <w:snapToGrid w:val="0"/>
        <w:spacing w:after="312" w:afterLines="100" w:line="276" w:lineRule="auto"/>
        <w:jc w:val="center"/>
        <w:rPr>
          <w:rFonts w:ascii="Times New Roman" w:hAnsi="Times New Roman"/>
          <w:b/>
          <w:bCs/>
          <w:kern w:val="0"/>
          <w:sz w:val="22"/>
        </w:rPr>
      </w:pPr>
      <w:bookmarkStart w:id="7" w:name="_Toc501635899"/>
      <w:r>
        <w:rPr>
          <w:rFonts w:ascii="Times New Roman" w:hAnsi="Times New Roman"/>
          <w:b/>
          <w:bCs/>
          <w:kern w:val="0"/>
          <w:sz w:val="22"/>
        </w:rPr>
        <w:t>Chapter 3</w:t>
      </w:r>
      <w:r>
        <w:rPr>
          <w:rFonts w:ascii="Times New Roman" w:hAnsi="Times New Roman"/>
          <w:b/>
          <w:bCs/>
          <w:kern w:val="0"/>
          <w:sz w:val="22"/>
        </w:rPr>
        <w:tab/>
      </w:r>
      <w:r>
        <w:rPr>
          <w:rFonts w:ascii="Times New Roman" w:hAnsi="Times New Roman"/>
          <w:b/>
          <w:bCs/>
          <w:kern w:val="0"/>
          <w:sz w:val="22"/>
        </w:rPr>
        <w:t>Account Filing</w:t>
      </w:r>
      <w:bookmarkEnd w:id="7"/>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6</w:t>
      </w:r>
      <w:r>
        <w:rPr>
          <w:rFonts w:ascii="Times New Roman" w:hAnsi="Times New Roman" w:eastAsia="等线"/>
          <w:b/>
          <w:kern w:val="0"/>
          <w:sz w:val="22"/>
        </w:rPr>
        <w:tab/>
      </w:r>
      <w:r>
        <w:rPr>
          <w:rFonts w:ascii="Times New Roman" w:hAnsi="Times New Roman" w:eastAsia="等线"/>
          <w:kern w:val="0"/>
          <w:sz w:val="22"/>
        </w:rPr>
        <w:t xml:space="preserve">China Futures Market Monitoring Center Co., Ltd. (hereinafter referred to as “CFMMC”) is responsible for handling the filing of information relating to </w:t>
      </w:r>
      <w:bookmarkStart w:id="8" w:name="OLE_LINK7"/>
      <w:r>
        <w:rPr>
          <w:rFonts w:ascii="Times New Roman" w:hAnsi="Times New Roman" w:eastAsia="等线"/>
          <w:kern w:val="0"/>
          <w:sz w:val="22"/>
        </w:rPr>
        <w:t>accounts involving actual control relationship</w:t>
      </w:r>
      <w:bookmarkEnd w:id="8"/>
      <w:r>
        <w:rPr>
          <w:rFonts w:ascii="Times New Roman" w:hAnsi="Times New Roman" w:eastAsia="等线"/>
          <w:kern w:val="0"/>
          <w:sz w:val="22"/>
        </w:rPr>
        <w:t>. Any person holding such an account, whether such person is controlling or being controlled, shall voluntarily file relevant information with CFMMC through its carrying Account Opening Institution..</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Non-FF Members and OSNBPs shall make filings directly with the Exchange, who shall then forward relevant information to CFMMC. Non-FF Members and OSNBPs shall comply with the applicable rules of CFMMC when filing their accounts and providing relevant materials.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7</w:t>
      </w:r>
      <w:r>
        <w:rPr>
          <w:rFonts w:ascii="Times New Roman" w:hAnsi="Times New Roman" w:eastAsia="等线"/>
          <w:b/>
          <w:kern w:val="0"/>
          <w:sz w:val="22"/>
        </w:rPr>
        <w:tab/>
      </w:r>
      <w:r>
        <w:rPr>
          <w:rFonts w:ascii="Times New Roman" w:hAnsi="Times New Roman" w:eastAsia="等线"/>
          <w:kern w:val="0"/>
          <w:sz w:val="22"/>
        </w:rPr>
        <w:t>The Exchange and CFMMC shall establish an information sharing mechanism with respect to accounts involving actual control relationship and use account information in accordance with applicable rules.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8</w:t>
      </w:r>
      <w:r>
        <w:rPr>
          <w:rFonts w:ascii="Times New Roman" w:hAnsi="Times New Roman" w:eastAsia="等线"/>
          <w:kern w:val="0"/>
          <w:sz w:val="22"/>
        </w:rPr>
        <w:tab/>
      </w:r>
      <w:r>
        <w:rPr>
          <w:rFonts w:ascii="Times New Roman" w:hAnsi="Times New Roman" w:eastAsia="等线"/>
          <w:kern w:val="0"/>
          <w:sz w:val="22"/>
        </w:rPr>
        <w:t>Clients holding any account involving actual control relationship as defined by the identification criteria shall complete account filing within ten (10) trading days after receiving its unique CFMMC account code.</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Non-FF Members and OSNBPs with any account involving actual control relationship as recognized under the identification criteria shall complete account filing within ten (10) trading days after becoming Members or OSNBPs of the Exchange.</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9</w:t>
      </w:r>
      <w:r>
        <w:rPr>
          <w:rFonts w:ascii="Times New Roman" w:hAnsi="Times New Roman" w:eastAsia="等线"/>
          <w:kern w:val="0"/>
          <w:sz w:val="22"/>
        </w:rPr>
        <w:tab/>
      </w:r>
      <w:r>
        <w:rPr>
          <w:rFonts w:ascii="Times New Roman" w:hAnsi="Times New Roman" w:eastAsia="等线"/>
          <w:kern w:val="0"/>
          <w:sz w:val="22"/>
        </w:rPr>
        <w:t xml:space="preserve">Any Non-FF Member, or OSNBP </w:t>
      </w:r>
      <w:r>
        <w:rPr>
          <w:rFonts w:ascii="Times New Roman" w:hAnsi="Times New Roman"/>
          <w:kern w:val="0"/>
          <w:sz w:val="22"/>
        </w:rPr>
        <w:t>or Client</w:t>
      </w:r>
      <w:r>
        <w:rPr>
          <w:rFonts w:ascii="Times New Roman" w:hAnsi="Times New Roman" w:eastAsia="等线"/>
          <w:kern w:val="0"/>
          <w:sz w:val="22"/>
        </w:rPr>
        <w:t xml:space="preserve"> who is involved in a change of actual control relationship shall voluntarily file for such change with CFMMC within ten (10) trading days through the corresponding filing entity.</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Any Non-FF Member, or OSNBP</w:t>
      </w:r>
      <w:r>
        <w:rPr>
          <w:rFonts w:ascii="Times New Roman" w:hAnsi="Times New Roman"/>
          <w:kern w:val="0"/>
          <w:sz w:val="22"/>
        </w:rPr>
        <w:t xml:space="preserve"> or Client</w:t>
      </w:r>
      <w:r>
        <w:rPr>
          <w:rFonts w:ascii="Times New Roman" w:hAnsi="Times New Roman" w:eastAsia="等线"/>
          <w:kern w:val="0"/>
          <w:sz w:val="22"/>
        </w:rPr>
        <w:t xml:space="preserve"> applying for adding an </w:t>
      </w:r>
      <w:bookmarkStart w:id="9" w:name="OLE_LINK9"/>
      <w:r>
        <w:rPr>
          <w:rFonts w:ascii="Times New Roman" w:hAnsi="Times New Roman" w:eastAsia="等线"/>
          <w:kern w:val="0"/>
          <w:sz w:val="22"/>
        </w:rPr>
        <w:t xml:space="preserve">actual control relationship </w:t>
      </w:r>
      <w:bookmarkEnd w:id="9"/>
      <w:r>
        <w:rPr>
          <w:rFonts w:ascii="Times New Roman" w:hAnsi="Times New Roman" w:eastAsia="等线"/>
          <w:kern w:val="0"/>
          <w:sz w:val="22"/>
        </w:rPr>
        <w:t>shall</w:t>
      </w:r>
      <w:bookmarkStart w:id="10" w:name="OLE_LINK8"/>
      <w:r>
        <w:rPr>
          <w:rFonts w:ascii="Times New Roman" w:hAnsi="Times New Roman" w:eastAsia="等线"/>
          <w:kern w:val="0"/>
          <w:sz w:val="22"/>
        </w:rPr>
        <w:t xml:space="preserve"> voluntarily file for such addition with CFMMC through the corresponding filing entity.</w:t>
      </w:r>
      <w:bookmarkEnd w:id="10"/>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Any Client intending to remove an actual control relationship shall submit an application to CFMMC through its Account Opening Institution to be forwarded to the Exchange for review. The Client shall also submit, through its Account Opening Institution, such relevant explanatory materials as required by the Exchange.</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Any Non-FF Member or OSNBP intending to remove an actual control relationship shall directly apply to the Exchange and provide such explanatory materials as required by the Exchange.</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10</w:t>
      </w:r>
      <w:r>
        <w:rPr>
          <w:rFonts w:ascii="Times New Roman" w:hAnsi="Times New Roman" w:eastAsia="等线"/>
          <w:kern w:val="0"/>
          <w:sz w:val="22"/>
        </w:rPr>
        <w:tab/>
      </w:r>
      <w:r>
        <w:rPr>
          <w:rFonts w:ascii="Times New Roman" w:hAnsi="Times New Roman" w:eastAsia="等线"/>
          <w:kern w:val="0"/>
          <w:sz w:val="22"/>
        </w:rPr>
        <w:t>If the Exchange discovers</w:t>
      </w:r>
      <w:r>
        <w:rPr>
          <w:rFonts w:hint="eastAsia" w:ascii="Times New Roman" w:hAnsi="Times New Roman" w:eastAsia="等线"/>
          <w:kern w:val="0"/>
          <w:sz w:val="22"/>
        </w:rPr>
        <w:t>,</w:t>
      </w:r>
      <w:r>
        <w:rPr>
          <w:rFonts w:ascii="Times New Roman" w:hAnsi="Times New Roman" w:eastAsia="等线"/>
          <w:kern w:val="0"/>
          <w:sz w:val="22"/>
        </w:rPr>
        <w:t xml:space="preserve"> during its day-to-day self-regulation</w:t>
      </w:r>
      <w:r>
        <w:rPr>
          <w:rFonts w:hint="eastAsia" w:ascii="Times New Roman" w:hAnsi="Times New Roman" w:eastAsia="等线"/>
          <w:kern w:val="0"/>
          <w:sz w:val="22"/>
        </w:rPr>
        <w:t>,</w:t>
      </w:r>
      <w:r>
        <w:rPr>
          <w:rFonts w:ascii="Times New Roman" w:hAnsi="Times New Roman" w:eastAsia="等线"/>
          <w:kern w:val="0"/>
          <w:sz w:val="22"/>
        </w:rPr>
        <w:t xml:space="preserve"> an account that is suspected of involving actual control relationship </w:t>
      </w:r>
      <w:r>
        <w:rPr>
          <w:rFonts w:ascii="Times New Roman" w:hAnsi="Times New Roman"/>
          <w:bCs/>
          <w:sz w:val="22"/>
        </w:rPr>
        <w:t>but is not filed</w:t>
      </w:r>
      <w:r>
        <w:rPr>
          <w:rFonts w:ascii="Times New Roman" w:hAnsi="Times New Roman" w:eastAsia="等线"/>
          <w:kern w:val="0"/>
          <w:sz w:val="22"/>
        </w:rPr>
        <w:t xml:space="preserve">, </w:t>
      </w:r>
      <w:r>
        <w:rPr>
          <w:rFonts w:ascii="Times New Roman" w:hAnsi="Times New Roman"/>
          <w:bCs/>
          <w:sz w:val="22"/>
        </w:rPr>
        <w:t xml:space="preserve">and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 </w:t>
      </w:r>
      <w:r>
        <w:rPr>
          <w:rFonts w:hint="eastAsia" w:ascii="Times New Roman" w:hAnsi="Times New Roman"/>
          <w:bCs/>
          <w:sz w:val="22"/>
        </w:rPr>
        <w:t xml:space="preserve">through </w:t>
      </w:r>
      <w:r>
        <w:rPr>
          <w:rFonts w:ascii="Times New Roman" w:hAnsi="Times New Roman"/>
          <w:bCs/>
          <w:sz w:val="22"/>
        </w:rPr>
        <w:t xml:space="preserve">an FF Member, the Exchange is entitled to inquire into the account directly or through the FF Member;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w:t>
      </w:r>
      <w:r>
        <w:rPr>
          <w:rFonts w:hint="eastAsia" w:ascii="Times New Roman" w:hAnsi="Times New Roman"/>
          <w:bCs/>
          <w:sz w:val="22"/>
        </w:rPr>
        <w:t xml:space="preserve"> through</w:t>
      </w:r>
      <w:r>
        <w:rPr>
          <w:rFonts w:ascii="Times New Roman" w:hAnsi="Times New Roman"/>
          <w:bCs/>
          <w:sz w:val="22"/>
        </w:rPr>
        <w:t xml:space="preserve"> an OSBP, the Exchange is entitled to inquire into the account directly or through the OSBP;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Non-FF Member or an OSNBP, the Exchange is entitled to inquire into the account directly</w:t>
      </w:r>
      <w:r>
        <w:rPr>
          <w:rFonts w:ascii="Times New Roman" w:hAnsi="Times New Roman" w:eastAsia="等线"/>
          <w:kern w:val="0"/>
          <w:sz w:val="22"/>
        </w:rPr>
        <w:t>.</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If the Client engages in futures trading through an Overseas Intermediary, the relevant FF Member or OSBP shall promptly forward the inquiry to such Overseas Intermediary, who shall inquire the Client about the account.</w:t>
      </w:r>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 xml:space="preserve">Non-FF Members, OSNBPs, </w:t>
      </w:r>
      <w:r>
        <w:rPr>
          <w:rFonts w:hint="eastAsia" w:ascii="Times New Roman" w:hAnsi="Times New Roman" w:eastAsia="等线"/>
          <w:kern w:val="0"/>
          <w:sz w:val="22"/>
        </w:rPr>
        <w:t>and</w:t>
      </w:r>
      <w:r>
        <w:rPr>
          <w:rFonts w:ascii="Times New Roman" w:hAnsi="Times New Roman" w:eastAsia="等线"/>
          <w:kern w:val="0"/>
          <w:sz w:val="22"/>
        </w:rPr>
        <w:t xml:space="preserve"> Clients concerned shall respond to the inquiry in writing and furnish relevant materials. The </w:t>
      </w:r>
      <w:bookmarkStart w:id="11" w:name="_Hlk489870974"/>
      <w:r>
        <w:rPr>
          <w:rFonts w:ascii="Times New Roman" w:hAnsi="Times New Roman" w:eastAsia="等线"/>
          <w:kern w:val="0"/>
          <w:sz w:val="22"/>
        </w:rPr>
        <w:t>Account Opening Institution</w:t>
      </w:r>
      <w:bookmarkEnd w:id="11"/>
      <w:r>
        <w:rPr>
          <w:rFonts w:ascii="Times New Roman" w:hAnsi="Times New Roman" w:eastAsia="等线"/>
          <w:kern w:val="0"/>
          <w:sz w:val="22"/>
        </w:rPr>
        <w:t xml:space="preserve"> shall timely forward the written response and materials to the Exchange.</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11</w:t>
      </w:r>
      <w:r>
        <w:rPr>
          <w:rFonts w:ascii="Times New Roman" w:hAnsi="Times New Roman" w:eastAsia="等线"/>
          <w:kern w:val="0"/>
          <w:sz w:val="22"/>
        </w:rPr>
        <w:tab/>
      </w:r>
      <w:r>
        <w:rPr>
          <w:rFonts w:ascii="Times New Roman" w:hAnsi="Times New Roman" w:eastAsia="等线"/>
          <w:kern w:val="0"/>
          <w:sz w:val="22"/>
        </w:rPr>
        <w:t>Any Non-FF Member, OSNBP, or Client acknowledging the existence of an actual control relationship during the inquiry shall make account filing in accordance with the prescribed procedures. Any Non-FF Member, OSNBP, or Client denying the existence of an actual control relationship during the inquiry shall submit written explanat</w:t>
      </w:r>
      <w:r>
        <w:rPr>
          <w:rFonts w:hint="eastAsia" w:ascii="Times New Roman" w:hAnsi="Times New Roman" w:eastAsia="等线"/>
          <w:kern w:val="0"/>
          <w:sz w:val="22"/>
        </w:rPr>
        <w:t>ions</w:t>
      </w:r>
      <w:r>
        <w:rPr>
          <w:rFonts w:ascii="Times New Roman" w:hAnsi="Times New Roman" w:eastAsia="等线"/>
          <w:kern w:val="0"/>
          <w:sz w:val="22"/>
        </w:rPr>
        <w:t xml:space="preserve"> and sign a Compliance Statement and Undertaking (</w:t>
      </w:r>
      <w:r>
        <w:rPr>
          <w:rFonts w:hint="eastAsia" w:ascii="Times New Roman" w:hAnsi="Times New Roman" w:eastAsia="等线"/>
          <w:kern w:val="0"/>
          <w:sz w:val="22"/>
        </w:rPr>
        <w:t xml:space="preserve">see </w:t>
      </w:r>
      <w:r>
        <w:rPr>
          <w:rFonts w:ascii="Times New Roman" w:hAnsi="Times New Roman" w:eastAsia="等线"/>
          <w:kern w:val="0"/>
          <w:sz w:val="22"/>
        </w:rPr>
        <w:t>the official website of the Exchange), following which the Exchange will review the written explanatory materials and take the following actions accordingly:</w:t>
      </w:r>
    </w:p>
    <w:p>
      <w:pPr>
        <w:numPr>
          <w:ilvl w:val="0"/>
          <w:numId w:val="2"/>
        </w:numPr>
        <w:snapToGrid w:val="0"/>
        <w:spacing w:after="312" w:afterLines="100" w:line="276" w:lineRule="auto"/>
        <w:ind w:left="0" w:firstLine="0"/>
        <w:jc w:val="left"/>
        <w:rPr>
          <w:rFonts w:ascii="Times New Roman" w:hAnsi="Times New Roman" w:eastAsia="等线"/>
          <w:kern w:val="0"/>
          <w:sz w:val="22"/>
        </w:rPr>
      </w:pPr>
      <w:r>
        <w:rPr>
          <w:rFonts w:hint="eastAsia" w:ascii="Times New Roman" w:hAnsi="Times New Roman" w:eastAsia="等线"/>
          <w:kern w:val="0"/>
          <w:sz w:val="22"/>
        </w:rPr>
        <w:t>if there are concrete facts and reasons to demonstrate that the account does not involve actual control relationship, the Exchange will identify the account as such;</w:t>
      </w:r>
    </w:p>
    <w:p>
      <w:pPr>
        <w:numPr>
          <w:ilvl w:val="0"/>
          <w:numId w:val="2"/>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sz w:val="22"/>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sz w:val="22"/>
        </w:rPr>
        <w:t xml:space="preserve">e </w:t>
      </w:r>
      <w:r>
        <w:rPr>
          <w:rFonts w:ascii="Times New Roman" w:hAnsi="Times New Roman"/>
          <w:sz w:val="22"/>
        </w:rPr>
        <w:t>Non-FF Member, OSNBP or Client fails to complete the filing within the prescribed time, the Exchange may determine, in accordance with these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sz w:val="22"/>
        </w:rPr>
        <w:t>to</w:t>
      </w:r>
      <w:r>
        <w:rPr>
          <w:rFonts w:ascii="Times New Roman" w:hAnsi="Times New Roman"/>
          <w:sz w:val="22"/>
        </w:rPr>
        <w:t xml:space="preserve"> its watch list.</w:t>
      </w:r>
      <w:r>
        <w:rPr>
          <w:rFonts w:ascii="Times New Roman" w:hAnsi="Times New Roman" w:eastAsia="等线"/>
          <w:kern w:val="0"/>
          <w:sz w:val="22"/>
        </w:rPr>
        <w:t xml:space="preserve"> </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12</w:t>
      </w:r>
      <w:r>
        <w:rPr>
          <w:rFonts w:ascii="Times New Roman" w:hAnsi="Times New Roman" w:eastAsia="等线"/>
          <w:b/>
          <w:kern w:val="0"/>
          <w:sz w:val="22"/>
        </w:rPr>
        <w:tab/>
      </w:r>
      <w:r>
        <w:rPr>
          <w:rFonts w:hint="eastAsia" w:ascii="Times New Roman" w:hAnsi="Times New Roman" w:eastAsia="等线"/>
          <w:kern w:val="0"/>
          <w:sz w:val="22"/>
        </w:rPr>
        <w:t>T</w:t>
      </w:r>
      <w:r>
        <w:rPr>
          <w:rFonts w:ascii="Times New Roman" w:hAnsi="Times New Roman" w:eastAsia="等线"/>
          <w:kern w:val="0"/>
          <w:sz w:val="22"/>
        </w:rPr>
        <w:t xml:space="preserve">he Exchange may adopt such measures against the </w:t>
      </w:r>
      <w:r>
        <w:rPr>
          <w:rFonts w:hint="eastAsia" w:ascii="Times New Roman" w:hAnsi="Times New Roman" w:eastAsia="等线"/>
          <w:kern w:val="0"/>
          <w:sz w:val="22"/>
        </w:rPr>
        <w:t xml:space="preserve">Non-FF Member, OSNBP or </w:t>
      </w:r>
      <w:r>
        <w:rPr>
          <w:rFonts w:ascii="Times New Roman" w:hAnsi="Times New Roman" w:eastAsia="等线"/>
          <w:kern w:val="0"/>
          <w:sz w:val="22"/>
        </w:rPr>
        <w:t xml:space="preserve">Client as giving a verbal alert, issuing a warning letter, </w:t>
      </w:r>
      <w:r>
        <w:rPr>
          <w:rFonts w:hint="eastAsia" w:ascii="Times New Roman" w:hAnsi="Times New Roman" w:eastAsia="等线"/>
          <w:kern w:val="0"/>
          <w:sz w:val="22"/>
        </w:rPr>
        <w:t>limiting</w:t>
      </w:r>
      <w:r>
        <w:rPr>
          <w:rFonts w:ascii="Times New Roman" w:hAnsi="Times New Roman" w:eastAsia="等线"/>
          <w:kern w:val="0"/>
          <w:sz w:val="22"/>
        </w:rPr>
        <w:t xml:space="preserve"> the opening of new positions</w:t>
      </w:r>
      <w:r>
        <w:rPr>
          <w:rFonts w:hint="eastAsia" w:ascii="Times New Roman" w:hAnsi="Times New Roman" w:eastAsia="等线"/>
          <w:kern w:val="0"/>
          <w:sz w:val="22"/>
        </w:rPr>
        <w:t xml:space="preserve">, and </w:t>
      </w:r>
      <w:r>
        <w:rPr>
          <w:rFonts w:hint="eastAsia" w:ascii="Times New Roman" w:hAnsi="Times New Roman"/>
          <w:bCs/>
          <w:kern w:val="0"/>
          <w:sz w:val="22"/>
        </w:rPr>
        <w:t>limiting funds withdrawals</w:t>
      </w:r>
      <w:r>
        <w:rPr>
          <w:rFonts w:ascii="Times New Roman" w:hAnsi="Times New Roman"/>
          <w:bCs/>
          <w:kern w:val="0"/>
          <w:sz w:val="22"/>
        </w:rPr>
        <w:t xml:space="preserve"> </w:t>
      </w:r>
      <w:r>
        <w:rPr>
          <w:rFonts w:hint="eastAsia" w:ascii="Times New Roman" w:hAnsi="Times New Roman"/>
          <w:bCs/>
          <w:kern w:val="0"/>
          <w:sz w:val="22"/>
        </w:rPr>
        <w:t>i</w:t>
      </w:r>
      <w:r>
        <w:rPr>
          <w:rFonts w:ascii="Times New Roman" w:hAnsi="Times New Roman"/>
          <w:bCs/>
          <w:kern w:val="0"/>
          <w:sz w:val="22"/>
        </w:rPr>
        <w:t>f any</w:t>
      </w:r>
      <w:r>
        <w:rPr>
          <w:rFonts w:hint="eastAsia" w:ascii="Times New Roman" w:hAnsi="Times New Roman"/>
          <w:bCs/>
          <w:kern w:val="0"/>
          <w:sz w:val="22"/>
        </w:rPr>
        <w:t xml:space="preserve"> </w:t>
      </w:r>
      <w:r>
        <w:rPr>
          <w:rFonts w:ascii="Times New Roman" w:hAnsi="Times New Roman"/>
          <w:bCs/>
          <w:kern w:val="0"/>
          <w:sz w:val="22"/>
        </w:rPr>
        <w:t xml:space="preserve">Non-FF Member, OSNBP </w:t>
      </w:r>
      <w:r>
        <w:rPr>
          <w:rFonts w:hint="eastAsia" w:ascii="Times New Roman" w:hAnsi="Times New Roman"/>
          <w:bCs/>
          <w:kern w:val="0"/>
          <w:sz w:val="22"/>
        </w:rPr>
        <w:t>or Client:</w:t>
      </w:r>
    </w:p>
    <w:p>
      <w:pPr>
        <w:tabs>
          <w:tab w:val="left" w:pos="480"/>
        </w:tabs>
        <w:snapToGrid w:val="0"/>
        <w:spacing w:after="312" w:afterLines="100" w:line="259" w:lineRule="auto"/>
        <w:jc w:val="left"/>
        <w:rPr>
          <w:rFonts w:ascii="Times New Roman" w:hAnsi="Times New Roman"/>
          <w:bCs/>
          <w:kern w:val="0"/>
          <w:sz w:val="22"/>
        </w:rPr>
      </w:pPr>
      <w:r>
        <w:rPr>
          <w:rFonts w:ascii="Times New Roman" w:hAnsi="Times New Roman"/>
          <w:sz w:val="22"/>
        </w:rPr>
        <w:t>(1)</w:t>
      </w:r>
      <w:r>
        <w:rPr>
          <w:rFonts w:ascii="Times New Roman" w:hAnsi="Times New Roman"/>
          <w:sz w:val="22"/>
        </w:rPr>
        <w:tab/>
      </w:r>
      <w:r>
        <w:rPr>
          <w:rFonts w:hint="eastAsia" w:ascii="Times New Roman" w:hAnsi="Times New Roman"/>
          <w:sz w:val="22"/>
        </w:rPr>
        <w:t xml:space="preserve">is involved in </w:t>
      </w:r>
      <w:r>
        <w:rPr>
          <w:rFonts w:hint="eastAsia" w:ascii="Times New Roman" w:hAnsi="Times New Roman"/>
          <w:bCs/>
          <w:kern w:val="0"/>
          <w:sz w:val="22"/>
        </w:rPr>
        <w:t>an actual control relationship but failed to truthfully file relevant information;</w:t>
      </w:r>
    </w:p>
    <w:p>
      <w:pPr>
        <w:tabs>
          <w:tab w:val="left" w:pos="480"/>
        </w:tabs>
        <w:snapToGrid w:val="0"/>
        <w:spacing w:after="312" w:afterLines="100" w:line="259" w:lineRule="auto"/>
        <w:jc w:val="left"/>
        <w:rPr>
          <w:rFonts w:ascii="Times New Roman" w:hAnsi="Times New Roman"/>
          <w:sz w:val="22"/>
        </w:rPr>
      </w:pPr>
      <w:r>
        <w:rPr>
          <w:rFonts w:ascii="Times New Roman" w:hAnsi="Times New Roman"/>
          <w:sz w:val="22"/>
        </w:rPr>
        <w:t>(2)</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or fail</w:t>
      </w:r>
      <w:r>
        <w:rPr>
          <w:rFonts w:hint="eastAsia" w:ascii="Times New Roman" w:hAnsi="Times New Roman"/>
          <w:sz w:val="22"/>
        </w:rPr>
        <w:t>s</w:t>
      </w:r>
      <w:r>
        <w:rPr>
          <w:rFonts w:ascii="Times New Roman" w:hAnsi="Times New Roman"/>
          <w:sz w:val="22"/>
        </w:rPr>
        <w:t xml:space="preserve"> to truthfully re</w:t>
      </w:r>
      <w:r>
        <w:rPr>
          <w:rFonts w:hint="eastAsia" w:ascii="Times New Roman" w:hAnsi="Times New Roman"/>
          <w:sz w:val="22"/>
        </w:rPr>
        <w:t>spond</w:t>
      </w:r>
      <w:r>
        <w:rPr>
          <w:rFonts w:ascii="Times New Roman" w:hAnsi="Times New Roman"/>
          <w:sz w:val="22"/>
        </w:rPr>
        <w:t xml:space="preserve"> to, any inquiry or investigation of the Exchange, or </w:t>
      </w:r>
      <w:r>
        <w:rPr>
          <w:rFonts w:hint="eastAsia" w:ascii="Times New Roman" w:hAnsi="Times New Roman"/>
          <w:sz w:val="22"/>
        </w:rPr>
        <w:t>elects to withhold</w:t>
      </w:r>
      <w:r>
        <w:rPr>
          <w:rFonts w:ascii="Times New Roman" w:hAnsi="Times New Roman"/>
          <w:sz w:val="22"/>
        </w:rPr>
        <w:t xml:space="preserve"> facts</w:t>
      </w:r>
      <w:r>
        <w:rPr>
          <w:rFonts w:hint="eastAsia" w:ascii="Times New Roman" w:hAnsi="Times New Roman"/>
          <w:sz w:val="22"/>
        </w:rPr>
        <w:t>,</w:t>
      </w:r>
      <w:r>
        <w:rPr>
          <w:rFonts w:ascii="Times New Roman" w:hAnsi="Times New Roman"/>
          <w:sz w:val="22"/>
        </w:rPr>
        <w:t xml:space="preserve"> or evad</w:t>
      </w:r>
      <w:r>
        <w:rPr>
          <w:rFonts w:hint="eastAsia" w:ascii="Times New Roman" w:hAnsi="Times New Roman"/>
          <w:sz w:val="22"/>
        </w:rPr>
        <w:t>es such inquiry or investigation</w:t>
      </w:r>
      <w:r>
        <w:rPr>
          <w:rFonts w:ascii="Times New Roman" w:hAnsi="Times New Roman"/>
          <w:sz w:val="22"/>
        </w:rPr>
        <w:t>;</w:t>
      </w:r>
    </w:p>
    <w:p>
      <w:pPr>
        <w:tabs>
          <w:tab w:val="left" w:pos="480"/>
        </w:tabs>
        <w:snapToGrid w:val="0"/>
        <w:spacing w:after="312" w:afterLines="100" w:line="259" w:lineRule="auto"/>
        <w:jc w:val="left"/>
        <w:rPr>
          <w:rFonts w:ascii="Times New Roman" w:hAnsi="Times New Roman"/>
          <w:sz w:val="22"/>
        </w:rPr>
      </w:pPr>
      <w:r>
        <w:rPr>
          <w:rFonts w:ascii="Times New Roman" w:hAnsi="Times New Roman"/>
          <w:sz w:val="22"/>
        </w:rPr>
        <w:t>(3)</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file an actual control relationship to circumvent the Exchange’s </w:t>
      </w:r>
      <w:r>
        <w:rPr>
          <w:rFonts w:hint="eastAsia" w:ascii="Times New Roman" w:hAnsi="Times New Roman"/>
          <w:sz w:val="22"/>
        </w:rPr>
        <w:t xml:space="preserve">administration </w:t>
      </w:r>
      <w:r>
        <w:rPr>
          <w:rFonts w:ascii="Times New Roman" w:hAnsi="Times New Roman"/>
          <w:sz w:val="22"/>
        </w:rPr>
        <w:t>of abnormal trading behaviors, risk control management, or the like; or</w:t>
      </w:r>
    </w:p>
    <w:p>
      <w:pPr>
        <w:tabs>
          <w:tab w:val="left" w:pos="426"/>
        </w:tabs>
        <w:snapToGrid w:val="0"/>
        <w:spacing w:after="312" w:afterLines="100" w:line="276" w:lineRule="auto"/>
        <w:jc w:val="left"/>
        <w:rPr>
          <w:rFonts w:ascii="Times New Roman" w:hAnsi="Times New Roman" w:eastAsia="等线"/>
          <w:kern w:val="0"/>
          <w:sz w:val="22"/>
        </w:rPr>
      </w:pPr>
      <w:r>
        <w:rPr>
          <w:rFonts w:ascii="Times New Roman" w:hAnsi="Times New Roman"/>
          <w:sz w:val="22"/>
        </w:rPr>
        <w:t>(4)</w:t>
      </w:r>
      <w:r>
        <w:rPr>
          <w:rFonts w:ascii="Times New Roman" w:hAnsi="Times New Roman"/>
          <w:sz w:val="22"/>
        </w:rPr>
        <w:tab/>
      </w:r>
      <w:r>
        <w:rPr>
          <w:rFonts w:ascii="Times New Roman" w:hAnsi="Times New Roman"/>
          <w:sz w:val="22"/>
        </w:rPr>
        <w:t>provid</w:t>
      </w:r>
      <w:r>
        <w:rPr>
          <w:rFonts w:hint="eastAsia" w:ascii="Times New Roman" w:hAnsi="Times New Roman"/>
          <w:sz w:val="22"/>
        </w:rPr>
        <w:t>es</w:t>
      </w:r>
      <w:r>
        <w:rPr>
          <w:rFonts w:ascii="Times New Roman" w:hAnsi="Times New Roman"/>
          <w:sz w:val="22"/>
        </w:rPr>
        <w:t xml:space="preserve"> false materials </w:t>
      </w:r>
      <w:r>
        <w:rPr>
          <w:rFonts w:hint="eastAsia" w:ascii="Times New Roman" w:hAnsi="Times New Roman"/>
          <w:sz w:val="22"/>
        </w:rPr>
        <w:t>to</w:t>
      </w:r>
      <w:r>
        <w:rPr>
          <w:rFonts w:ascii="Times New Roman" w:hAnsi="Times New Roman"/>
          <w:sz w:val="22"/>
        </w:rPr>
        <w:t xml:space="preserve"> apply for the </w:t>
      </w:r>
      <w:r>
        <w:rPr>
          <w:rFonts w:hint="eastAsia" w:ascii="Times New Roman" w:hAnsi="Times New Roman"/>
          <w:sz w:val="22"/>
        </w:rPr>
        <w:t>removal of</w:t>
      </w:r>
      <w:r>
        <w:rPr>
          <w:rFonts w:ascii="Times New Roman" w:hAnsi="Times New Roman"/>
          <w:sz w:val="22"/>
        </w:rPr>
        <w:t xml:space="preserve"> an actual control relationship.</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13</w:t>
      </w:r>
      <w:r>
        <w:rPr>
          <w:rFonts w:ascii="Times New Roman" w:hAnsi="Times New Roman" w:eastAsia="等线"/>
          <w:kern w:val="0"/>
          <w:sz w:val="22"/>
        </w:rPr>
        <w:tab/>
      </w:r>
      <w:r>
        <w:rPr>
          <w:rFonts w:ascii="Times New Roman" w:hAnsi="Times New Roman" w:eastAsia="等线"/>
          <w:kern w:val="0"/>
          <w:sz w:val="22"/>
        </w:rPr>
        <w:t>If an Account Opening Institution falls under any of the following circumstances, the Exchange will order it to make corrections and may adopt such measures as giving a verbal alert, issuing a warning letter, and issuing an opinion letter:</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 xml:space="preserve">failing to promptly, accurately, and fully inform Clients of the rules of the Exchange </w:t>
      </w:r>
      <w:bookmarkStart w:id="12" w:name="OLE_LINK13"/>
      <w:r>
        <w:rPr>
          <w:rFonts w:ascii="Times New Roman" w:hAnsi="Times New Roman" w:eastAsia="等线"/>
          <w:kern w:val="0"/>
          <w:sz w:val="22"/>
        </w:rPr>
        <w:t>regarding accounts involving actual control relationship</w:t>
      </w:r>
      <w:bookmarkEnd w:id="12"/>
      <w:r>
        <w:rPr>
          <w:rFonts w:ascii="Times New Roman" w:hAnsi="Times New Roman" w:eastAsia="等线"/>
          <w:kern w:val="0"/>
          <w:sz w:val="22"/>
        </w:rPr>
        <w:t>;</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failing to promptly, accurately, and fully record and update information regarding accounts involving actual control relationship;</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condoning, inducing, encouraging, or assisting Clients to make false filing or conceal facts;</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failing to keep the Clients’ materials secure according to applicable rules;</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failing to provide assistance in the inquiry of accounts involving actual control relationship as required by the Exchange, or willfully delaying progress or concealing or omitting facts; or</w:t>
      </w:r>
    </w:p>
    <w:p>
      <w:pPr>
        <w:numPr>
          <w:ilvl w:val="0"/>
          <w:numId w:val="3"/>
        </w:numPr>
        <w:snapToGrid w:val="0"/>
        <w:spacing w:after="312" w:afterLines="100" w:line="276" w:lineRule="auto"/>
        <w:ind w:left="0" w:firstLine="0"/>
        <w:jc w:val="left"/>
        <w:rPr>
          <w:rFonts w:ascii="Times New Roman" w:hAnsi="Times New Roman" w:eastAsia="等线"/>
          <w:kern w:val="0"/>
          <w:sz w:val="22"/>
        </w:rPr>
      </w:pPr>
      <w:r>
        <w:rPr>
          <w:rFonts w:ascii="Times New Roman" w:hAnsi="Times New Roman" w:eastAsia="等线"/>
          <w:kern w:val="0"/>
          <w:sz w:val="22"/>
        </w:rPr>
        <w:t>any other circumstances determined by the Exchange.</w:t>
      </w:r>
    </w:p>
    <w:p>
      <w:pPr>
        <w:snapToGrid w:val="0"/>
        <w:spacing w:after="312" w:afterLines="100" w:line="276" w:lineRule="auto"/>
        <w:jc w:val="center"/>
        <w:rPr>
          <w:rFonts w:ascii="Times New Roman" w:hAnsi="Times New Roman"/>
          <w:b/>
          <w:bCs/>
          <w:kern w:val="0"/>
          <w:sz w:val="22"/>
        </w:rPr>
      </w:pPr>
      <w:bookmarkStart w:id="13" w:name="_Toc501635900"/>
      <w:r>
        <w:rPr>
          <w:rFonts w:ascii="Times New Roman" w:hAnsi="Times New Roman"/>
          <w:b/>
          <w:bCs/>
          <w:kern w:val="0"/>
          <w:sz w:val="22"/>
        </w:rPr>
        <w:t>Chapter 4</w:t>
      </w:r>
      <w:r>
        <w:rPr>
          <w:rFonts w:ascii="Times New Roman" w:hAnsi="Times New Roman"/>
          <w:b/>
          <w:bCs/>
          <w:kern w:val="0"/>
          <w:sz w:val="22"/>
        </w:rPr>
        <w:tab/>
      </w:r>
      <w:r>
        <w:rPr>
          <w:rFonts w:ascii="Times New Roman" w:hAnsi="Times New Roman"/>
          <w:b/>
          <w:bCs/>
          <w:kern w:val="0"/>
          <w:sz w:val="22"/>
        </w:rPr>
        <w:t>Account Administration</w:t>
      </w:r>
      <w:bookmarkEnd w:id="13"/>
    </w:p>
    <w:p>
      <w:pPr>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14</w:t>
      </w:r>
      <w:r>
        <w:rPr>
          <w:rFonts w:ascii="Times New Roman" w:hAnsi="Times New Roman" w:eastAsia="等线"/>
          <w:b/>
          <w:kern w:val="0"/>
          <w:sz w:val="22"/>
        </w:rPr>
        <w:tab/>
      </w:r>
      <w:bookmarkStart w:id="14" w:name="OLE_LINK15"/>
      <w:bookmarkStart w:id="15" w:name="OLE_LINK14"/>
      <w:r>
        <w:rPr>
          <w:rFonts w:ascii="Times New Roman" w:hAnsi="Times New Roman" w:eastAsia="等线"/>
          <w:kern w:val="0"/>
          <w:sz w:val="22"/>
        </w:rPr>
        <w:t xml:space="preserve">The Exchange shall consider the </w:t>
      </w:r>
      <w:r>
        <w:rPr>
          <w:rFonts w:hint="eastAsia" w:ascii="Times New Roman" w:hAnsi="Times New Roman" w:eastAsia="等线"/>
          <w:kern w:val="0"/>
          <w:sz w:val="22"/>
        </w:rPr>
        <w:t xml:space="preserve">orders, </w:t>
      </w:r>
      <w:r>
        <w:rPr>
          <w:rFonts w:ascii="Times New Roman" w:hAnsi="Times New Roman" w:eastAsia="等线"/>
          <w:kern w:val="0"/>
          <w:sz w:val="22"/>
        </w:rPr>
        <w:t>trades, positions, and other relevant metrics of a group of accounts with actual control relationship on an aggregate basis when applying such rules as position limit, intraday open position volume, abnormal trading behaviors management, and large trader position reporting.</w:t>
      </w:r>
      <w:bookmarkEnd w:id="14"/>
      <w:bookmarkEnd w:id="15"/>
    </w:p>
    <w:p>
      <w:pPr>
        <w:snapToGrid w:val="0"/>
        <w:spacing w:after="312" w:afterLines="100" w:line="276" w:lineRule="auto"/>
        <w:jc w:val="left"/>
        <w:rPr>
          <w:rFonts w:ascii="Times New Roman" w:hAnsi="Times New Roman" w:eastAsia="等线"/>
          <w:b/>
          <w:kern w:val="0"/>
          <w:sz w:val="22"/>
        </w:rPr>
      </w:pPr>
      <w:r>
        <w:rPr>
          <w:rFonts w:ascii="Times New Roman" w:hAnsi="Times New Roman" w:eastAsia="等线"/>
          <w:b/>
          <w:kern w:val="0"/>
          <w:sz w:val="22"/>
        </w:rPr>
        <w:t>Article 15</w:t>
      </w:r>
      <w:r>
        <w:rPr>
          <w:rFonts w:ascii="Times New Roman" w:hAnsi="Times New Roman" w:eastAsia="等线"/>
          <w:b/>
          <w:kern w:val="0"/>
          <w:sz w:val="22"/>
        </w:rPr>
        <w:tab/>
      </w:r>
      <w:r>
        <w:rPr>
          <w:rFonts w:ascii="Times New Roman" w:hAnsi="Times New Roman" w:eastAsia="等线"/>
          <w:kern w:val="0"/>
          <w:sz w:val="22"/>
        </w:rPr>
        <w:t xml:space="preserve">Where a group of accounts with actual control relationship involve only Clients, the Exchange shall limit the aggregate size of general and arbitrage positions under these accounts to within the sum of (a) the general position limit of futures contract during different trading periods for a single Client as prescribed by the </w:t>
      </w:r>
      <w:r>
        <w:rPr>
          <w:rFonts w:ascii="Times New Roman" w:hAnsi="Times New Roman" w:eastAsia="等线"/>
          <w:i/>
          <w:kern w:val="0"/>
          <w:sz w:val="22"/>
        </w:rPr>
        <w:t>Risk Management Rules</w:t>
      </w:r>
      <w:r>
        <w:rPr>
          <w:rFonts w:ascii="Times New Roman" w:hAnsi="Times New Roman" w:eastAsia="等线"/>
          <w:kern w:val="0"/>
          <w:sz w:val="22"/>
        </w:rPr>
        <w:t xml:space="preserve"> and (b) the combined arbitrage quota for all group members as approved by the Exchange during those periods.</w:t>
      </w:r>
    </w:p>
    <w:p>
      <w:pPr>
        <w:tabs>
          <w:tab w:val="left" w:pos="1134"/>
        </w:tabs>
        <w:snapToGrid w:val="0"/>
        <w:spacing w:after="312" w:afterLines="100" w:line="276" w:lineRule="auto"/>
        <w:jc w:val="left"/>
        <w:rPr>
          <w:rFonts w:ascii="Times New Roman" w:hAnsi="Times New Roman" w:eastAsia="等线"/>
          <w:b/>
          <w:kern w:val="0"/>
          <w:sz w:val="22"/>
        </w:rPr>
      </w:pPr>
      <w:r>
        <w:rPr>
          <w:rFonts w:ascii="Times New Roman" w:hAnsi="Times New Roman" w:eastAsia="等线"/>
          <w:kern w:val="0"/>
          <w:sz w:val="22"/>
        </w:rPr>
        <w:t xml:space="preserve">Where a group of accounts with actual control relationship involve Non-FF Members or OSNBPs, the Exchange shall limit the aggregate size of general and arbitrage positions under these accounts to within the sum of (a) the general position limit of futures contract during different trading periods for a single Non-FF Member or OSNBP as prescribed by the </w:t>
      </w:r>
      <w:r>
        <w:rPr>
          <w:rFonts w:ascii="Times New Roman" w:hAnsi="Times New Roman" w:eastAsia="等线"/>
          <w:i/>
          <w:kern w:val="0"/>
          <w:sz w:val="22"/>
        </w:rPr>
        <w:t>Risk Management Rules</w:t>
      </w:r>
      <w:r>
        <w:rPr>
          <w:rFonts w:ascii="Times New Roman" w:hAnsi="Times New Roman" w:eastAsia="等线"/>
          <w:kern w:val="0"/>
          <w:sz w:val="22"/>
        </w:rPr>
        <w:t xml:space="preserve"> and (b) the combined arbitrage quota for all group members as approved by the Exchange during those periods.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16</w:t>
      </w:r>
      <w:r>
        <w:rPr>
          <w:rFonts w:ascii="Times New Roman" w:hAnsi="Times New Roman" w:eastAsia="等线"/>
          <w:b/>
          <w:kern w:val="0"/>
          <w:sz w:val="22"/>
        </w:rPr>
        <w:tab/>
      </w:r>
      <w:r>
        <w:rPr>
          <w:rFonts w:ascii="Times New Roman" w:hAnsi="Times New Roman" w:eastAsia="等线"/>
          <w:kern w:val="0"/>
          <w:sz w:val="22"/>
        </w:rPr>
        <w:t>If a combined position over-limit occurs with respect to a group of accounts with actual control relationship, the Exchange will, after market close on the same day, notify the relevant FF Members or Overseas Special Participants to require the Clients concerned to close their positions. If the Clients engage in futures trading through Overseas Intermediaries, the relevant FF Members or OSBPs shall promptly forward the alert notice to the Clients via the Overseas Intermediaries.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kern w:val="0"/>
          <w:sz w:val="22"/>
        </w:rPr>
        <w:t>If any of such Clients fail to complete the position closing within the first trading session of the next trading day, the Exchange will implement forced position liquidation, one Client at a time, by descending combined size of their respective general positions and arbitrage positions, until the combined size of positions held by the whole group complies with the position limit prescribed by the Exchange.</w:t>
      </w:r>
    </w:p>
    <w:p>
      <w:pPr>
        <w:tabs>
          <w:tab w:val="left" w:pos="1134"/>
        </w:tabs>
        <w:snapToGrid w:val="0"/>
        <w:spacing w:after="312" w:afterLines="100" w:line="276" w:lineRule="auto"/>
        <w:jc w:val="left"/>
        <w:rPr>
          <w:rFonts w:ascii="Times New Roman" w:hAnsi="Times New Roman" w:eastAsia="等线"/>
          <w:b/>
          <w:kern w:val="0"/>
          <w:sz w:val="22"/>
        </w:rPr>
      </w:pPr>
      <w:r>
        <w:rPr>
          <w:rFonts w:ascii="Times New Roman" w:hAnsi="Times New Roman" w:eastAsia="等线"/>
          <w:b/>
          <w:kern w:val="0"/>
          <w:sz w:val="22"/>
        </w:rPr>
        <w:t>Article 17</w:t>
      </w:r>
      <w:r>
        <w:rPr>
          <w:rFonts w:ascii="Times New Roman" w:hAnsi="Times New Roman" w:eastAsia="等线"/>
          <w:b/>
          <w:kern w:val="0"/>
          <w:sz w:val="22"/>
        </w:rPr>
        <w:tab/>
      </w:r>
      <w:r>
        <w:rPr>
          <w:rFonts w:ascii="Times New Roman" w:hAnsi="Times New Roman" w:eastAsia="等线"/>
          <w:kern w:val="0"/>
          <w:sz w:val="22"/>
        </w:rPr>
        <w:t>The aggregate position opening volume in a listed product or futures contract within a group of accounts involving actual control relationship in a single trading day shall not exceed the intraday open position volume for a single Client prescribed by the Exchange.</w:t>
      </w:r>
    </w:p>
    <w:p>
      <w:pPr>
        <w:tabs>
          <w:tab w:val="left" w:pos="1134"/>
        </w:tabs>
        <w:snapToGrid w:val="0"/>
        <w:spacing w:after="312" w:afterLines="100" w:line="276" w:lineRule="auto"/>
        <w:jc w:val="left"/>
        <w:rPr>
          <w:rFonts w:ascii="Times New Roman" w:hAnsi="Times New Roman" w:eastAsia="等线"/>
          <w:b/>
          <w:kern w:val="0"/>
          <w:sz w:val="22"/>
        </w:rPr>
      </w:pPr>
      <w:r>
        <w:rPr>
          <w:rFonts w:ascii="Times New Roman" w:hAnsi="Times New Roman" w:eastAsia="等线"/>
          <w:b/>
          <w:kern w:val="0"/>
          <w:sz w:val="22"/>
        </w:rPr>
        <w:t>Article 18</w:t>
      </w:r>
      <w:r>
        <w:rPr>
          <w:rFonts w:ascii="Times New Roman" w:hAnsi="Times New Roman" w:eastAsia="等线"/>
          <w:b/>
          <w:kern w:val="0"/>
          <w:sz w:val="22"/>
        </w:rPr>
        <w:tab/>
      </w:r>
      <w:r>
        <w:rPr>
          <w:rFonts w:ascii="Times New Roman" w:hAnsi="Times New Roman" w:eastAsia="等线"/>
          <w:kern w:val="0"/>
          <w:sz w:val="22"/>
        </w:rPr>
        <w:t xml:space="preserve">Where, with respect to a group of accounts with actual control relationship, the </w:t>
      </w:r>
      <w:bookmarkStart w:id="16" w:name="OLE_LINK23"/>
      <w:bookmarkStart w:id="17" w:name="OLE_LINK22"/>
      <w:r>
        <w:rPr>
          <w:rFonts w:ascii="Times New Roman" w:hAnsi="Times New Roman" w:eastAsia="等线"/>
          <w:kern w:val="0"/>
          <w:sz w:val="22"/>
        </w:rPr>
        <w:t>aggregate self trading volume</w:t>
      </w:r>
      <w:bookmarkEnd w:id="16"/>
      <w:bookmarkEnd w:id="17"/>
      <w:r>
        <w:rPr>
          <w:rFonts w:ascii="Times New Roman" w:hAnsi="Times New Roman" w:eastAsia="等线"/>
          <w:kern w:val="0"/>
          <w:sz w:val="22"/>
        </w:rPr>
        <w:t>, number of orders canceled, number of large-amount orders canceled, intraday open position volume, or any other relevant metric reaches the threshold for the Exchange to take self-regulatory actions</w:t>
      </w:r>
      <w:bookmarkStart w:id="18" w:name="OLE_LINK16"/>
      <w:r>
        <w:rPr>
          <w:rFonts w:ascii="Times New Roman" w:hAnsi="Times New Roman" w:eastAsia="等线"/>
          <w:kern w:val="0"/>
          <w:sz w:val="22"/>
        </w:rPr>
        <w:t xml:space="preserve"> under</w:t>
      </w:r>
      <w:bookmarkEnd w:id="18"/>
      <w:r>
        <w:rPr>
          <w:rFonts w:ascii="Times New Roman" w:hAnsi="Times New Roman" w:eastAsia="等线"/>
          <w:kern w:val="0"/>
          <w:sz w:val="22"/>
        </w:rPr>
        <w:t xml:space="preserve"> the </w:t>
      </w:r>
      <w:r>
        <w:rPr>
          <w:rFonts w:ascii="Times New Roman" w:hAnsi="Times New Roman" w:eastAsia="等线"/>
          <w:i/>
          <w:kern w:val="0"/>
          <w:sz w:val="22"/>
        </w:rPr>
        <w:t>Rules of the Shanghai International Energy Exchange for the Administration of Abnormal Trading Behaviors</w:t>
      </w:r>
      <w:r>
        <w:rPr>
          <w:rFonts w:ascii="Times New Roman" w:hAnsi="Times New Roman" w:eastAsia="等线"/>
          <w:kern w:val="0"/>
          <w:sz w:val="22"/>
        </w:rPr>
        <w:t>, the Exchange shall do so against the group of accounts.</w:t>
      </w:r>
    </w:p>
    <w:p>
      <w:pPr>
        <w:snapToGrid w:val="0"/>
        <w:spacing w:after="312" w:afterLines="100" w:line="276" w:lineRule="auto"/>
        <w:jc w:val="center"/>
        <w:rPr>
          <w:rFonts w:ascii="Times New Roman" w:hAnsi="Times New Roman"/>
          <w:b/>
          <w:bCs/>
          <w:kern w:val="0"/>
          <w:sz w:val="22"/>
        </w:rPr>
      </w:pPr>
      <w:bookmarkStart w:id="19" w:name="_Toc501635901"/>
      <w:r>
        <w:rPr>
          <w:rFonts w:ascii="Times New Roman" w:hAnsi="Times New Roman"/>
          <w:b/>
          <w:bCs/>
          <w:kern w:val="0"/>
          <w:sz w:val="22"/>
        </w:rPr>
        <w:t>Chapter 5</w:t>
      </w:r>
      <w:r>
        <w:rPr>
          <w:rFonts w:ascii="Times New Roman" w:hAnsi="Times New Roman"/>
          <w:b/>
          <w:bCs/>
          <w:kern w:val="0"/>
          <w:sz w:val="22"/>
        </w:rPr>
        <w:tab/>
      </w:r>
      <w:r>
        <w:rPr>
          <w:rFonts w:ascii="Times New Roman" w:hAnsi="Times New Roman"/>
          <w:b/>
          <w:bCs/>
          <w:kern w:val="0"/>
          <w:sz w:val="22"/>
        </w:rPr>
        <w:t>Miscellaneous</w:t>
      </w:r>
      <w:bookmarkEnd w:id="19"/>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19</w:t>
      </w:r>
      <w:r>
        <w:rPr>
          <w:rFonts w:ascii="Times New Roman" w:hAnsi="Times New Roman" w:eastAsia="等线"/>
          <w:kern w:val="0"/>
          <w:sz w:val="22"/>
        </w:rPr>
        <w:tab/>
      </w:r>
      <w:r>
        <w:rPr>
          <w:rFonts w:ascii="Times New Roman" w:hAnsi="Times New Roman" w:eastAsia="等线"/>
          <w:kern w:val="0"/>
          <w:sz w:val="22"/>
        </w:rPr>
        <w:t xml:space="preserve">Unless otherwise provided by these </w:t>
      </w:r>
      <w:r>
        <w:rPr>
          <w:rFonts w:ascii="Times New Roman" w:hAnsi="Times New Roman" w:eastAsia="等线"/>
          <w:i/>
          <w:kern w:val="0"/>
          <w:sz w:val="22"/>
        </w:rPr>
        <w:t>Rules</w:t>
      </w:r>
      <w:r>
        <w:rPr>
          <w:rFonts w:ascii="Times New Roman" w:hAnsi="Times New Roman" w:eastAsia="等线"/>
          <w:kern w:val="0"/>
          <w:sz w:val="22"/>
        </w:rPr>
        <w:t>, Non-FF Members and OSNBPs shall be administered by reference to the provisions applicable to Clients.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bCs/>
          <w:kern w:val="0"/>
          <w:sz w:val="22"/>
        </w:rPr>
        <w:t>Article 20</w:t>
      </w:r>
      <w:r>
        <w:rPr>
          <w:rFonts w:ascii="Times New Roman" w:hAnsi="Times New Roman" w:eastAsia="等线"/>
          <w:b/>
          <w:bCs/>
          <w:kern w:val="0"/>
          <w:sz w:val="22"/>
        </w:rPr>
        <w:tab/>
      </w:r>
      <w:r>
        <w:rPr>
          <w:rFonts w:ascii="Times New Roman" w:hAnsi="Times New Roman"/>
          <w:sz w:val="22"/>
        </w:rPr>
        <w:t>Any violation of these Rules shall be handled by the Exchange in accordance with the Enforcement Rules.</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21</w:t>
      </w:r>
      <w:r>
        <w:rPr>
          <w:rFonts w:ascii="Times New Roman" w:hAnsi="Times New Roman" w:eastAsia="等线"/>
          <w:kern w:val="0"/>
          <w:sz w:val="22"/>
        </w:rPr>
        <w:tab/>
      </w:r>
      <w:r>
        <w:rPr>
          <w:rFonts w:ascii="Times New Roman" w:hAnsi="Times New Roman" w:eastAsia="等线"/>
          <w:kern w:val="0"/>
          <w:sz w:val="22"/>
        </w:rPr>
        <w:t>The Exchange reserves the right to interpret these</w:t>
      </w:r>
      <w:r>
        <w:rPr>
          <w:rFonts w:ascii="Times New Roman" w:hAnsi="Times New Roman" w:eastAsia="等线"/>
          <w:i/>
          <w:kern w:val="0"/>
          <w:sz w:val="22"/>
        </w:rPr>
        <w:t xml:space="preserve"> Rules</w:t>
      </w:r>
      <w:r>
        <w:rPr>
          <w:rFonts w:ascii="Times New Roman" w:hAnsi="Times New Roman" w:eastAsia="等线"/>
          <w:kern w:val="0"/>
          <w:sz w:val="22"/>
        </w:rPr>
        <w:t>.</w:t>
      </w:r>
    </w:p>
    <w:p>
      <w:pPr>
        <w:tabs>
          <w:tab w:val="left" w:pos="1134"/>
        </w:tabs>
        <w:snapToGrid w:val="0"/>
        <w:spacing w:after="312" w:afterLines="100" w:line="276" w:lineRule="auto"/>
        <w:jc w:val="left"/>
        <w:rPr>
          <w:rFonts w:ascii="Times New Roman" w:hAnsi="Times New Roman" w:eastAsia="等线"/>
          <w:kern w:val="0"/>
          <w:sz w:val="22"/>
        </w:rPr>
      </w:pPr>
      <w:r>
        <w:rPr>
          <w:rFonts w:ascii="Times New Roman" w:hAnsi="Times New Roman" w:eastAsia="等线"/>
          <w:b/>
          <w:kern w:val="0"/>
          <w:sz w:val="22"/>
        </w:rPr>
        <w:t>Article 22</w:t>
      </w:r>
      <w:r>
        <w:rPr>
          <w:rFonts w:ascii="Times New Roman" w:hAnsi="Times New Roman" w:eastAsia="等线"/>
          <w:kern w:val="0"/>
          <w:sz w:val="22"/>
        </w:rPr>
        <w:tab/>
      </w:r>
      <w:r>
        <w:rPr>
          <w:rFonts w:ascii="Times New Roman" w:hAnsi="Times New Roman" w:eastAsia="等线"/>
          <w:kern w:val="0"/>
          <w:sz w:val="22"/>
        </w:rPr>
        <w:t xml:space="preserve">These </w:t>
      </w:r>
      <w:r>
        <w:rPr>
          <w:rFonts w:ascii="Times New Roman" w:hAnsi="Times New Roman" w:eastAsia="等线"/>
          <w:i/>
          <w:kern w:val="0"/>
          <w:sz w:val="22"/>
        </w:rPr>
        <w:t xml:space="preserve">Rules </w:t>
      </w:r>
      <w:r>
        <w:rPr>
          <w:rFonts w:ascii="Times New Roman" w:hAnsi="Times New Roman" w:eastAsia="等线"/>
          <w:kern w:val="0"/>
          <w:sz w:val="22"/>
        </w:rPr>
        <w:t xml:space="preserve">shall be effective as on </w:t>
      </w:r>
      <w:r>
        <w:rPr>
          <w:rFonts w:hint="eastAsia" w:ascii="Times New Roman" w:hAnsi="Times New Roman" w:eastAsia="等线"/>
          <w:kern w:val="0"/>
          <w:sz w:val="22"/>
        </w:rPr>
        <w:t>October 20, 2026</w:t>
      </w:r>
      <w:r>
        <w:rPr>
          <w:rFonts w:ascii="Times New Roman" w:hAnsi="Times New Roman" w:eastAsia="等线"/>
          <w:kern w:val="0"/>
          <w:sz w:val="22"/>
        </w:rPr>
        <w:t>.</w:t>
      </w:r>
    </w:p>
    <w:p>
      <w:pPr>
        <w:widowControl/>
        <w:jc w:val="both"/>
        <w:rPr>
          <w:rFonts w:ascii="Times New Roman" w:hAnsi="Times New Roman" w:eastAsia="宋体" w:cs="Times New Roman"/>
          <w:color w:val="000000"/>
          <w:kern w:val="0"/>
          <w:sz w:val="24"/>
          <w:szCs w:val="24"/>
          <w:shd w:val="clear" w:color="auto" w:fill="FFFFFF"/>
          <w:lang w:bidi="ar"/>
        </w:rPr>
      </w:pPr>
    </w:p>
    <w:p>
      <w:pPr>
        <w:widowControl/>
        <w:snapToGrid w:val="0"/>
        <w:spacing w:line="256" w:lineRule="auto"/>
        <w:rPr>
          <w:rFonts w:ascii="Times New Roman" w:hAnsi="Times New Roman" w:eastAsia="方正大标宋简体" w:cs="Times New Roman"/>
          <w:sz w:val="30"/>
          <w:szCs w:val="30"/>
        </w:rPr>
      </w:pPr>
    </w:p>
    <w:p>
      <w:pPr>
        <w:widowControl/>
        <w:snapToGrid w:val="0"/>
        <w:spacing w:after="240" w:afterLines="100" w:line="276" w:lineRule="auto"/>
        <w:jc w:val="left"/>
        <w:rPr>
          <w:rFonts w:ascii="Times New Roman" w:hAnsi="Times New Roman" w:eastAsia="宋体" w:cs="Times New Roman"/>
          <w:kern w:val="0"/>
          <w:sz w:val="22"/>
        </w:rPr>
      </w:pPr>
    </w:p>
    <w:p>
      <w:pPr>
        <w:widowControl/>
        <w:snapToGrid w:val="0"/>
        <w:spacing w:after="240" w:afterLines="100" w:line="276" w:lineRule="auto"/>
        <w:jc w:val="left"/>
        <w:rPr>
          <w:rFonts w:ascii="Times New Roman" w:hAnsi="Times New Roman" w:eastAsia="宋体" w:cs="Times New Roman"/>
          <w:kern w:val="0"/>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ind w:right="360"/>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13142"/>
    <w:multiLevelType w:val="multilevel"/>
    <w:tmpl w:val="05513142"/>
    <w:lvl w:ilvl="0" w:tentative="0">
      <w:start w:val="1"/>
      <w:numFmt w:val="decimal"/>
      <w:lvlText w:val="(%1)"/>
      <w:lvlJc w:val="left"/>
      <w:pPr>
        <w:ind w:left="1928" w:hanging="510"/>
      </w:pPr>
      <w:rPr>
        <w:rFonts w:hint="default"/>
      </w:rPr>
    </w:lvl>
    <w:lvl w:ilvl="1" w:tentative="0">
      <w:start w:val="1"/>
      <w:numFmt w:val="lowerLetter"/>
      <w:lvlText w:val="%2)"/>
      <w:lvlJc w:val="left"/>
      <w:pPr>
        <w:ind w:left="2258" w:hanging="420"/>
      </w:pPr>
    </w:lvl>
    <w:lvl w:ilvl="2" w:tentative="0">
      <w:start w:val="1"/>
      <w:numFmt w:val="lowerRoman"/>
      <w:lvlText w:val="%3."/>
      <w:lvlJc w:val="right"/>
      <w:pPr>
        <w:ind w:left="2678" w:hanging="420"/>
      </w:pPr>
    </w:lvl>
    <w:lvl w:ilvl="3" w:tentative="0">
      <w:start w:val="1"/>
      <w:numFmt w:val="decimal"/>
      <w:lvlText w:val="%4."/>
      <w:lvlJc w:val="left"/>
      <w:pPr>
        <w:ind w:left="3098" w:hanging="420"/>
      </w:pPr>
    </w:lvl>
    <w:lvl w:ilvl="4" w:tentative="0">
      <w:start w:val="1"/>
      <w:numFmt w:val="lowerLetter"/>
      <w:lvlText w:val="%5)"/>
      <w:lvlJc w:val="left"/>
      <w:pPr>
        <w:ind w:left="3518" w:hanging="420"/>
      </w:pPr>
    </w:lvl>
    <w:lvl w:ilvl="5" w:tentative="0">
      <w:start w:val="1"/>
      <w:numFmt w:val="lowerRoman"/>
      <w:lvlText w:val="%6."/>
      <w:lvlJc w:val="right"/>
      <w:pPr>
        <w:ind w:left="3938" w:hanging="420"/>
      </w:pPr>
    </w:lvl>
    <w:lvl w:ilvl="6" w:tentative="0">
      <w:start w:val="1"/>
      <w:numFmt w:val="decimal"/>
      <w:lvlText w:val="%7."/>
      <w:lvlJc w:val="left"/>
      <w:pPr>
        <w:ind w:left="4358" w:hanging="420"/>
      </w:pPr>
    </w:lvl>
    <w:lvl w:ilvl="7" w:tentative="0">
      <w:start w:val="1"/>
      <w:numFmt w:val="lowerLetter"/>
      <w:lvlText w:val="%8)"/>
      <w:lvlJc w:val="left"/>
      <w:pPr>
        <w:ind w:left="4778" w:hanging="420"/>
      </w:pPr>
    </w:lvl>
    <w:lvl w:ilvl="8" w:tentative="0">
      <w:start w:val="1"/>
      <w:numFmt w:val="lowerRoman"/>
      <w:lvlText w:val="%9."/>
      <w:lvlJc w:val="right"/>
      <w:pPr>
        <w:ind w:left="5198" w:hanging="420"/>
      </w:pPr>
    </w:lvl>
  </w:abstractNum>
  <w:abstractNum w:abstractNumId="1">
    <w:nsid w:val="43DC143F"/>
    <w:multiLevelType w:val="multilevel"/>
    <w:tmpl w:val="43DC143F"/>
    <w:lvl w:ilvl="0" w:tentative="0">
      <w:start w:val="1"/>
      <w:numFmt w:val="decimal"/>
      <w:lvlText w:val="(%1)"/>
      <w:lvlJc w:val="left"/>
      <w:pPr>
        <w:ind w:left="72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712567"/>
    <w:multiLevelType w:val="multilevel"/>
    <w:tmpl w:val="4671256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109B"/>
    <w:rsid w:val="003F50E5"/>
    <w:rsid w:val="00426ECC"/>
    <w:rsid w:val="00515DFE"/>
    <w:rsid w:val="00566D2D"/>
    <w:rsid w:val="005B79D5"/>
    <w:rsid w:val="00764CF7"/>
    <w:rsid w:val="0077306E"/>
    <w:rsid w:val="00785667"/>
    <w:rsid w:val="007A4F4F"/>
    <w:rsid w:val="008370DC"/>
    <w:rsid w:val="00857215"/>
    <w:rsid w:val="0086407D"/>
    <w:rsid w:val="00884DAF"/>
    <w:rsid w:val="00894BF3"/>
    <w:rsid w:val="0095731A"/>
    <w:rsid w:val="00991787"/>
    <w:rsid w:val="009C63D4"/>
    <w:rsid w:val="00AF1373"/>
    <w:rsid w:val="00B11779"/>
    <w:rsid w:val="00B247E4"/>
    <w:rsid w:val="00B45C2E"/>
    <w:rsid w:val="00BF2BF2"/>
    <w:rsid w:val="00C00DD9"/>
    <w:rsid w:val="00C43169"/>
    <w:rsid w:val="00C85448"/>
    <w:rsid w:val="00C91136"/>
    <w:rsid w:val="00CE02C2"/>
    <w:rsid w:val="00D845C3"/>
    <w:rsid w:val="00DE2479"/>
    <w:rsid w:val="00F21C76"/>
    <w:rsid w:val="1EBD4440"/>
    <w:rsid w:val="26EFE514"/>
    <w:rsid w:val="327FBF7E"/>
    <w:rsid w:val="385E52C5"/>
    <w:rsid w:val="399ABD36"/>
    <w:rsid w:val="48FD4578"/>
    <w:rsid w:val="633F4928"/>
    <w:rsid w:val="67EEF807"/>
    <w:rsid w:val="74FF9832"/>
    <w:rsid w:val="79DF079B"/>
    <w:rsid w:val="7BFFD199"/>
    <w:rsid w:val="7DFD7705"/>
    <w:rsid w:val="7EF95531"/>
    <w:rsid w:val="7FDF6284"/>
    <w:rsid w:val="7FE314AC"/>
    <w:rsid w:val="7FFFEAEE"/>
    <w:rsid w:val="AD9AB98C"/>
    <w:rsid w:val="AFF9638B"/>
    <w:rsid w:val="BB2D4155"/>
    <w:rsid w:val="BF5F88DB"/>
    <w:rsid w:val="BFFDACC6"/>
    <w:rsid w:val="CFBEB38C"/>
    <w:rsid w:val="CFD04C2C"/>
    <w:rsid w:val="E5C70A53"/>
    <w:rsid w:val="EDBE215C"/>
    <w:rsid w:val="EEE772E8"/>
    <w:rsid w:val="EFE780B0"/>
    <w:rsid w:val="F76E80BE"/>
    <w:rsid w:val="F7FDF6F0"/>
    <w:rsid w:val="FBB75F01"/>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8">
    <w:name w:val="page number"/>
    <w:qFormat/>
    <w:uiPriority w:val="0"/>
  </w:style>
  <w:style w:type="character" w:customStyle="1" w:styleId="9">
    <w:name w:val="日期 字符"/>
    <w:basedOn w:val="7"/>
    <w:link w:val="2"/>
    <w:semiHidden/>
    <w:qFormat/>
    <w:uiPriority w:val="99"/>
  </w:style>
  <w:style w:type="character" w:customStyle="1" w:styleId="10">
    <w:name w:val="页眉 字符"/>
    <w:basedOn w:val="7"/>
    <w:semiHidden/>
    <w:qFormat/>
    <w:uiPriority w:val="99"/>
    <w:rPr>
      <w:sz w:val="18"/>
      <w:szCs w:val="18"/>
    </w:rPr>
  </w:style>
  <w:style w:type="character" w:customStyle="1" w:styleId="11">
    <w:name w:val="页眉 字符1"/>
    <w:link w:val="4"/>
    <w:qFormat/>
    <w:uiPriority w:val="99"/>
    <w:rPr>
      <w:rFonts w:ascii="Calibri" w:hAnsi="Calibri" w:eastAsia="宋体" w:cs="Times New Roman"/>
      <w:sz w:val="18"/>
      <w:szCs w:val="18"/>
      <w:lang w:val="zh-CN" w:eastAsia="zh-CN"/>
    </w:rPr>
  </w:style>
  <w:style w:type="character" w:customStyle="1" w:styleId="12">
    <w:name w:val="页脚 字符"/>
    <w:basedOn w:val="7"/>
    <w:semiHidden/>
    <w:qFormat/>
    <w:uiPriority w:val="99"/>
    <w:rPr>
      <w:sz w:val="18"/>
      <w:szCs w:val="18"/>
    </w:rPr>
  </w:style>
  <w:style w:type="character" w:customStyle="1" w:styleId="13">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Template>
  <Pages>5</Pages>
  <Words>304</Words>
  <Characters>1733</Characters>
  <Lines>14</Lines>
  <Paragraphs>4</Paragraphs>
  <TotalTime>0</TotalTime>
  <ScaleCrop>false</ScaleCrop>
  <LinksUpToDate>false</LinksUpToDate>
  <CharactersWithSpaces>2033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2024-05-13T11:23:00Z</dcterms:created>
  <dc:creator>孙欣鹏</dc:creator>
  <cp:lastModifiedBy>wang.bihui</cp:lastModifiedBy>
  <cp:lastPrinted>2026-09-18T00:43:00Z</cp:lastPrinted>
  <dcterms:modified xsi:type="dcterms:W3CDTF">2026-09-29T09:51:58Z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