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方正仿宋简体" w:cs="Times New Roman"/>
          <w:sz w:val="36"/>
          <w:szCs w:val="32"/>
        </w:rPr>
      </w:pPr>
      <w:r>
        <w:rPr>
          <w:rFonts w:eastAsia="方正仿宋简体" w:cs="Times New Roman"/>
          <w:sz w:val="36"/>
          <w:szCs w:val="32"/>
        </w:rPr>
        <w:t>Appendix 1</w:t>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36"/>
          <w:szCs w:val="28"/>
        </w:rPr>
      </w:pPr>
      <w:bookmarkStart w:id="0" w:name="_GoBack"/>
      <w:r>
        <w:rPr>
          <w:rFonts w:ascii="Times New Roman" w:hAnsi="Times New Roman" w:cs="Times New Roman"/>
          <w:b/>
          <w:sz w:val="36"/>
          <w:szCs w:val="28"/>
        </w:rPr>
        <w:t>Drafting Explanation</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cs="Times New Roman"/>
          <w:b/>
          <w:sz w:val="36"/>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Times New Roman"/>
          <w:sz w:val="28"/>
          <w:szCs w:val="28"/>
        </w:rPr>
      </w:pPr>
      <w:r>
        <w:rPr>
          <w:rFonts w:ascii="Times New Roman" w:hAnsi="Times New Roman" w:cs="Times New Roman"/>
          <w:sz w:val="28"/>
          <w:szCs w:val="28"/>
        </w:rPr>
        <w:t>TSR 20, low sulfur fuel oil, and copper cathode are important commodities in China. After years of development, the TSR 20 futures, low sulfur fuel oil futures, and bonded copper futures listed on the Shanghai International Energy Exchange (INE) have grown in scale, and are playing an increasingly important role in serving the real economy with their fair contract liquidity and reasonable investor structure.</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In recent years, as international commodity prices have fluctuated significantly, </w:t>
      </w:r>
      <w:r>
        <w:rPr>
          <w:rFonts w:hint="eastAsia" w:ascii="Times New Roman" w:hAnsi="Times New Roman" w:cs="Times New Roman"/>
          <w:sz w:val="28"/>
          <w:szCs w:val="28"/>
        </w:rPr>
        <w:t>industrial</w:t>
      </w:r>
      <w:r>
        <w:rPr>
          <w:rFonts w:ascii="Times New Roman" w:hAnsi="Times New Roman" w:cs="Times New Roman"/>
          <w:sz w:val="28"/>
          <w:szCs w:val="28"/>
        </w:rPr>
        <w:t xml:space="preserve"> companies’ demand for more risk management has been increasing. The listing of TSR 20 options, low sulfur fuel oil options, and bonded copper options will offer more effective risk management tools. Therefore, INE has drafted the TSR 20 Options Contract Specifications, Low Sulfur Fuel Oil Option Contract Specifications, and Bonded Copper Options Contract Specifications. The main contents are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Times New Roman"/>
          <w:sz w:val="28"/>
          <w:szCs w:val="28"/>
        </w:rPr>
      </w:pPr>
      <w:r>
        <w:rPr>
          <w:rFonts w:ascii="Times New Roman" w:hAnsi="Times New Roman" w:cs="Times New Roman"/>
          <w:sz w:val="28"/>
          <w:szCs w:val="28"/>
        </w:rPr>
        <w:t>The TSR 20 Options Contract is based on TSR 20(NR) Futures Contract. The underlying asset is TSR 20(NR) futures contract. The contract size is 1 NR contract. The price quotation and daily price limit are the same as that for the TSR 20 futures contract. The minimum price fluctuation is 1 Yuan/ton. The range of strike price is the previous trading day’s settlement price of the NR contract plus or minus 1.5 times the current day’s price limit. The strike price interval is 100 Yuan/ton if strike price</w:t>
      </w:r>
      <w:r>
        <w:rPr>
          <w:rFonts w:hint="eastAsia" w:ascii="方正仿宋_GBK" w:hAnsi="方正仿宋_GBK" w:eastAsia="方正仿宋_GBK" w:cs="方正仿宋_GBK"/>
          <w:sz w:val="28"/>
          <w:szCs w:val="28"/>
        </w:rPr>
        <w:t>≤</w:t>
      </w:r>
      <w:r>
        <w:rPr>
          <w:rFonts w:ascii="Times New Roman" w:hAnsi="Times New Roman" w:cs="Times New Roman"/>
          <w:sz w:val="28"/>
          <w:szCs w:val="28"/>
        </w:rPr>
        <w:t>10000 Yuan/ton; 200 Yuan/ton if 10000 Yuan/ton &lt; strike price</w:t>
      </w:r>
      <w:r>
        <w:rPr>
          <w:rFonts w:hint="eastAsia" w:ascii="方正仿宋_GBK" w:hAnsi="方正仿宋_GBK" w:eastAsia="方正仿宋_GBK" w:cs="方正仿宋_GBK"/>
          <w:sz w:val="28"/>
          <w:szCs w:val="28"/>
        </w:rPr>
        <w:t>≤</w:t>
      </w:r>
      <w:r>
        <w:rPr>
          <w:rFonts w:ascii="Times New Roman" w:hAnsi="Times New Roman" w:cs="Times New Roman"/>
          <w:sz w:val="28"/>
          <w:szCs w:val="28"/>
        </w:rPr>
        <w:t>20000 Yuan/ton; 500 Yuan/ton if strike price &gt; 20000 Yuan/ ton. The option style is American style, buyers may submit an exercise request during trading hours on any trading day before the expiration date.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Times New Roman"/>
          <w:sz w:val="28"/>
          <w:szCs w:val="28"/>
        </w:rPr>
      </w:pPr>
      <w:r>
        <w:rPr>
          <w:rFonts w:ascii="Times New Roman" w:hAnsi="Times New Roman" w:cs="Times New Roman"/>
          <w:sz w:val="28"/>
          <w:szCs w:val="28"/>
        </w:rPr>
        <w:t>The Low Sulfur Fuel Oil Options Contract is based on Low Sulfur Fuel Oil (LU) Futures Contract. The underlying asset is Low Sulfur Fuel Oil (LU) futures contract. The contract size is 1 LU contract. The price quotation and daily price limit are the same as that for the LU contract. The minimum price fluctuation is 0.5 Yuan/ton. The range of strike price is the previous trading day’s settlement price of the LU contract plus or minus 1.5 times the current day’s price limit. The strike price interval is 20 Yuan/ton if strike price</w:t>
      </w:r>
      <w:r>
        <w:rPr>
          <w:rFonts w:hint="eastAsia" w:ascii="方正仿宋_GBK" w:hAnsi="方正仿宋_GBK" w:eastAsia="方正仿宋_GBK" w:cs="方正仿宋_GBK"/>
          <w:sz w:val="28"/>
          <w:szCs w:val="28"/>
        </w:rPr>
        <w:t>≤</w:t>
      </w:r>
      <w:r>
        <w:rPr>
          <w:rFonts w:ascii="Times New Roman" w:hAnsi="Times New Roman" w:cs="Times New Roman"/>
          <w:sz w:val="28"/>
          <w:szCs w:val="28"/>
        </w:rPr>
        <w:t xml:space="preserve">2000 Yuan/ton; 50 Yuan/ton if 2000 Yuan/ton &lt; strike price </w:t>
      </w:r>
      <w:r>
        <w:rPr>
          <w:rFonts w:hint="eastAsia" w:ascii="方正仿宋_GBK" w:hAnsi="方正仿宋_GBK" w:eastAsia="方正仿宋_GBK" w:cs="方正仿宋_GBK"/>
          <w:sz w:val="28"/>
          <w:szCs w:val="28"/>
        </w:rPr>
        <w:t>≤</w:t>
      </w:r>
      <w:r>
        <w:rPr>
          <w:rFonts w:ascii="Times New Roman" w:hAnsi="Times New Roman" w:cs="Times New Roman"/>
          <w:sz w:val="28"/>
          <w:szCs w:val="28"/>
        </w:rPr>
        <w:t>5000 Yuan/ton; 100 Yuan/ton if strike price &gt; 5000 Yuan/ ton. The option style is American style, buyers may submit an exercise request during trading hours on any trading day before the expiration date.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s="Times New Roman"/>
          <w:sz w:val="28"/>
          <w:szCs w:val="28"/>
        </w:rPr>
      </w:pPr>
      <w:r>
        <w:rPr>
          <w:rFonts w:ascii="Times New Roman" w:hAnsi="Times New Roman" w:cs="Times New Roman"/>
          <w:sz w:val="28"/>
          <w:szCs w:val="28"/>
        </w:rPr>
        <w:t>The Bonded Copper Options is based on Copper Cathode (BC) Futures Contract. The underlying asset is Copper Cathode (BC) futures contract. The contract size is 1 BC contract. The price quotation and daily price limit are the same as that for the BC contract. The minimum price fluctuation is 2 Yuan/ton. The range of strike price is the previous trading day’s settlement price of the BC contract plus or minus 1.5 times the current day’s price limit. The strike price interval is 500 Yuan/ton if strike price</w:t>
      </w:r>
      <w:r>
        <w:rPr>
          <w:rFonts w:hint="eastAsia" w:ascii="方正仿宋_GBK" w:hAnsi="方正仿宋_GBK" w:eastAsia="方正仿宋_GBK" w:cs="方正仿宋_GBK"/>
          <w:sz w:val="28"/>
          <w:szCs w:val="28"/>
        </w:rPr>
        <w:t>≤</w:t>
      </w:r>
      <w:r>
        <w:rPr>
          <w:rFonts w:ascii="Times New Roman" w:hAnsi="Times New Roman" w:cs="Times New Roman"/>
          <w:sz w:val="28"/>
          <w:szCs w:val="28"/>
        </w:rPr>
        <w:t>50000Yuan/ton; 1000 Yuan/ton if 50000 Yuan/ton &lt; strike price</w:t>
      </w:r>
      <w:r>
        <w:rPr>
          <w:rFonts w:hint="eastAsia" w:ascii="方正仿宋_GBK" w:hAnsi="方正仿宋_GBK" w:eastAsia="方正仿宋_GBK" w:cs="方正仿宋_GBK"/>
          <w:sz w:val="28"/>
          <w:szCs w:val="28"/>
        </w:rPr>
        <w:t xml:space="preserve"> ≤</w:t>
      </w:r>
      <w:r>
        <w:rPr>
          <w:rFonts w:ascii="Times New Roman" w:hAnsi="Times New Roman" w:cs="Times New Roman"/>
          <w:sz w:val="28"/>
          <w:szCs w:val="28"/>
        </w:rPr>
        <w:t>100000 Yuan/ton; 2000 Yuan/ton if strike price &gt; 100000 Yuan/ ton. The option style is American style, buyers may submit an exercise request during trading hours on any trading day before the expiration date.</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EB9AD9"/>
    <w:rsid w:val="C3EB9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center"/>
      <w:outlineLvl w:val="0"/>
    </w:pPr>
    <w:rPr>
      <w:rFonts w:ascii="Times New Roman" w:hAnsi="Times New Roman" w:eastAsia="黑体"/>
      <w:b/>
      <w:bCs/>
      <w:kern w:val="44"/>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2026-01-22T15:14:00Z</dcterms:created>
  <dc:creator>ji.shuoren</dc:creator>
  <cp:lastModifiedBy>ji.shuoren</cp:lastModifiedBy>
  <dcterms:modified xsi:type="dcterms:W3CDTF">2026-01-22T15:14:40Z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7A3C70ECE956E9B94CCE7169678D6A5E</vt:lpwstr>
  </property>
</Properties>
</file>