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eastAsia"/>
          <w:b/>
          <w:bCs/>
          <w:sz w:val="36"/>
          <w:szCs w:val="36"/>
          <w:lang w:val="en-US" w:eastAsia="zh-CN"/>
        </w:rPr>
      </w:pPr>
      <w:r>
        <w:rPr>
          <w:rFonts w:hint="eastAsia"/>
          <w:b/>
          <w:bCs/>
          <w:sz w:val="36"/>
          <w:szCs w:val="36"/>
          <w:lang w:val="en-US" w:eastAsia="zh-CN"/>
        </w:rPr>
        <w:t>Annex 2</w:t>
      </w:r>
    </w:p>
    <w:p>
      <w:pPr>
        <w:rPr>
          <w:rFonts w:hint="default"/>
          <w:lang w:val="en-US" w:eastAsia="zh-CN"/>
        </w:rPr>
      </w:pP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sz w:val="44"/>
          <w:szCs w:val="44"/>
        </w:rPr>
        <w:t>Articles of Association</w:t>
      </w:r>
      <w:r>
        <w:rPr>
          <w:sz w:val="44"/>
          <w:szCs w:val="44"/>
        </w:rPr>
        <w:br w:type="textWrapping"/>
      </w:r>
      <w:r>
        <w:rPr>
          <w:sz w:val="44"/>
          <w:szCs w:val="44"/>
        </w:rPr>
        <w:t xml:space="preserve">of Shanghai International Energy </w:t>
      </w:r>
      <w:r>
        <w:rPr>
          <w:rFonts w:hint="eastAsia"/>
          <w:sz w:val="44"/>
          <w:szCs w:val="44"/>
        </w:rPr>
        <w:t xml:space="preserve">Exchange co., </w:t>
      </w:r>
      <w:r>
        <w:rPr>
          <w:sz w:val="44"/>
          <w:szCs w:val="44"/>
        </w:rPr>
        <w:t>Ltd</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kern w:val="0"/>
          <w:sz w:val="36"/>
          <w:szCs w:val="40"/>
        </w:rPr>
      </w:pPr>
      <w:r>
        <w:rPr>
          <w:rFonts w:ascii="Times New Roman" w:hAnsi="Times New Roman" w:eastAsia="仿宋_GB2312"/>
          <w:kern w:val="0"/>
          <w:sz w:val="36"/>
          <w:szCs w:val="40"/>
        </w:rPr>
        <w:t>(revised)</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center"/>
        <w:textAlignment w:val="auto"/>
        <w:rPr>
          <w:rFonts w:ascii="Times New Roman" w:hAnsi="Times New Roman" w:eastAsia="仿宋_GB2312"/>
          <w:kern w:val="0"/>
          <w:sz w:val="28"/>
          <w:szCs w:val="32"/>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1 </w:t>
      </w:r>
      <w:r>
        <w:rPr>
          <w:sz w:val="32"/>
          <w:szCs w:val="32"/>
        </w:rPr>
        <w:t>General</w:t>
      </w:r>
      <w:r>
        <w:t xml:space="preserve"> Provisions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i/>
          <w:color w:val="000000"/>
          <w:sz w:val="30"/>
          <w:szCs w:val="30"/>
        </w:rPr>
      </w:pPr>
      <w:r>
        <w:rPr>
          <w:rFonts w:ascii="Times New Roman" w:hAnsi="Times New Roman" w:eastAsia="仿宋_GB2312" w:cs="Times New Roman"/>
          <w:b/>
          <w:sz w:val="30"/>
        </w:rPr>
        <w:t>Article 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These Articles of Association are made in accordance with the </w:t>
      </w:r>
      <w:r>
        <w:rPr>
          <w:rFonts w:ascii="Times New Roman" w:hAnsi="Times New Roman" w:eastAsia="仿宋_GB2312" w:cs="Times New Roman"/>
          <w:i/>
          <w:color w:val="000000"/>
          <w:sz w:val="30"/>
          <w:szCs w:val="30"/>
        </w:rPr>
        <w:t>Company Law of the People’s Republic of China</w:t>
      </w:r>
      <w:r>
        <w:rPr>
          <w:rFonts w:ascii="Times New Roman" w:hAnsi="Times New Roman" w:eastAsia="仿宋_GB2312" w:cs="Times New Roman"/>
          <w:color w:val="000000"/>
          <w:sz w:val="30"/>
          <w:szCs w:val="30"/>
        </w:rPr>
        <w:t xml:space="preserve"> (the “Company Law”), the </w:t>
      </w:r>
      <w:r>
        <w:rPr>
          <w:rFonts w:ascii="Times New Roman" w:hAnsi="Times New Roman" w:eastAsia="仿宋_GB2312" w:cs="Times New Roman"/>
          <w:i/>
          <w:color w:val="000000"/>
          <w:sz w:val="30"/>
          <w:szCs w:val="30"/>
        </w:rPr>
        <w:t>Securities Law of the People’s Republic of China</w:t>
      </w:r>
      <w:r>
        <w:rPr>
          <w:rFonts w:ascii="Times New Roman" w:hAnsi="Times New Roman" w:eastAsia="仿宋_GB2312" w:cs="Times New Roman"/>
          <w:color w:val="000000"/>
          <w:sz w:val="30"/>
          <w:szCs w:val="30"/>
        </w:rPr>
        <w:t xml:space="preserve"> (the “Securities Law”), the </w:t>
      </w:r>
      <w:r>
        <w:rPr>
          <w:rFonts w:ascii="Times New Roman" w:hAnsi="Times New Roman" w:eastAsia="仿宋_GB2312" w:cs="Times New Roman"/>
          <w:i/>
          <w:color w:val="000000"/>
          <w:sz w:val="30"/>
          <w:szCs w:val="30"/>
        </w:rPr>
        <w:t>Regulations on the Administration of Futures Trading</w:t>
      </w:r>
      <w:r>
        <w:rPr>
          <w:rFonts w:ascii="Times New Roman" w:hAnsi="Times New Roman" w:eastAsia="仿宋_GB2312" w:cs="Times New Roman"/>
          <w:color w:val="000000"/>
          <w:sz w:val="30"/>
          <w:szCs w:val="30"/>
        </w:rPr>
        <w:t xml:space="preserve">, the </w:t>
      </w:r>
      <w:r>
        <w:rPr>
          <w:rFonts w:ascii="Times New Roman" w:hAnsi="Times New Roman" w:eastAsia="仿宋_GB2312" w:cs="Times New Roman"/>
          <w:i/>
          <w:color w:val="000000"/>
          <w:sz w:val="30"/>
          <w:szCs w:val="30"/>
        </w:rPr>
        <w:t>Measures for the Administration of Futures Exchanges</w:t>
      </w:r>
      <w:r>
        <w:rPr>
          <w:rFonts w:ascii="Times New Roman" w:hAnsi="Times New Roman" w:eastAsia="仿宋_GB2312" w:cs="Times New Roman"/>
          <w:color w:val="000000"/>
          <w:sz w:val="30"/>
          <w:szCs w:val="30"/>
        </w:rPr>
        <w:t xml:space="preserve"> and other relevant rules and regulations, in order to protect the legitimate rights and interests of the Shanghai International Energy Exchange Limited (the “INE” or “the Exchange”), the shareholders and the creditors thereof, and to regulate the organization and conducts of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INE is a self-regulated legal person in the futures market which is established pursuant to </w:t>
      </w:r>
      <w:r>
        <w:rPr>
          <w:rFonts w:ascii="Times New Roman" w:hAnsi="Times New Roman" w:eastAsia="仿宋_GB2312" w:cs="Times New Roman"/>
          <w:i/>
          <w:color w:val="000000"/>
          <w:sz w:val="30"/>
          <w:szCs w:val="30"/>
        </w:rPr>
        <w:t>the Company Law</w:t>
      </w: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i/>
          <w:color w:val="000000"/>
          <w:sz w:val="30"/>
          <w:szCs w:val="30"/>
        </w:rPr>
        <w:t>the Regulations on the Administration of Futures Trading</w:t>
      </w: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i/>
          <w:color w:val="000000"/>
          <w:sz w:val="30"/>
          <w:szCs w:val="30"/>
        </w:rPr>
        <w:t>the</w:t>
      </w: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i/>
          <w:color w:val="000000"/>
          <w:sz w:val="30"/>
          <w:szCs w:val="30"/>
        </w:rPr>
        <w:t>Measures for the Administration of Futures Exchanges</w:t>
      </w:r>
      <w:r>
        <w:rPr>
          <w:rFonts w:ascii="Times New Roman" w:hAnsi="Times New Roman" w:eastAsia="仿宋_GB2312" w:cs="Times New Roman"/>
          <w:color w:val="000000"/>
          <w:sz w:val="30"/>
          <w:szCs w:val="30"/>
        </w:rPr>
        <w:t xml:space="preserve"> and other relevant rules and regulations.</w:t>
      </w:r>
    </w:p>
    <w:p>
      <w:pPr>
        <w:pStyle w:val="7"/>
        <w:keepNext w:val="0"/>
        <w:keepLines w:val="0"/>
        <w:pageBreakBefore w:val="0"/>
        <w:tabs>
          <w:tab w:val="left" w:pos="0"/>
          <w:tab w:val="left" w:pos="709"/>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The INE is jointly initiated and established by </w:t>
      </w:r>
      <w:r>
        <w:rPr>
          <w:rFonts w:ascii="Times New Roman" w:hAnsi="Times New Roman" w:cs="Times New Roman"/>
          <w:color w:val="000000"/>
          <w:sz w:val="30"/>
          <w:szCs w:val="30"/>
        </w:rPr>
        <w:t xml:space="preserve">the </w:t>
      </w:r>
      <w:r>
        <w:rPr>
          <w:rFonts w:ascii="Times New Roman" w:hAnsi="Times New Roman" w:eastAsia="仿宋_GB2312" w:cs="Times New Roman"/>
          <w:color w:val="000000"/>
          <w:sz w:val="30"/>
          <w:szCs w:val="30"/>
        </w:rPr>
        <w:t>Shanghai Futures Exchange (“SHFE”) and the Shanghai Futures Information Technology Co., Ltd (“SFIT”).</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registered capital of the Exchange is RMB ten (10) billion. Its total equity is divided into RMB common shares of equal value, with each share having a par value of RMB one (1). The SHFE contributes RMB nine thousand nine hundred (9,900) million, accounting for 99% of the Exchange’s equity; and the SFIT contributes RMB one hundred (100) million, accounting for 1% of the Exchange’s equity.</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Registered names of the Exchange:</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Name in Chinese: 上海国际能源交易中心股份有限公司； </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Name in English: SHANGHAI INTERNATIONAL ENERGY EXCHANGE Co., LTD</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domicile: 500 Pudian Road, China (Shanghai) Pilot Free Trade Zone.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registered capital shall be paid in full by the initiators within fifteen (15) business days after the incorporation and registration of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is a company limited by shares of perpetual existence.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Chairman of the Board of Director of the Exchange is the Exchange’s legal representative.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Exchange shall, in accordance with the provisions of </w:t>
      </w:r>
      <w:r>
        <w:rPr>
          <w:rFonts w:ascii="Times New Roman" w:hAnsi="Times New Roman" w:eastAsia="仿宋_GB2312" w:cs="Times New Roman"/>
          <w:i/>
          <w:color w:val="000000"/>
          <w:sz w:val="30"/>
          <w:szCs w:val="30"/>
        </w:rPr>
        <w:t>Constitution of The Communist Party of China</w:t>
      </w:r>
      <w:r>
        <w:rPr>
          <w:rFonts w:ascii="Times New Roman" w:hAnsi="Times New Roman" w:eastAsia="仿宋_GB2312" w:cs="Times New Roman"/>
          <w:color w:val="000000"/>
          <w:sz w:val="30"/>
          <w:szCs w:val="30"/>
        </w:rPr>
        <w:t>, set up a Party organization, accept the leadership of higher Party Committee and the oversight of higher Party's commissions for discipline inspection. The Exchange shall provide necessary support for the Party organization’s activities.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As of the effective date, these Articles of Association shall become a legally binding document that regulates the organization and conducts of the Exchange, and the rights and obligations of the Exchange and its shareholders as well as the relationship thereof, and shall be binding on the Exchange, its shareholders, Directors, Supervisors and senior management.</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Chapter 2 Business Scope And Responsibilities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business scope of the Exchange is to: organize and arrange the listing, trading, clearing, delivery and related activities of derivatives including futures and options, formulate business rules, implement self-regulation, publish market information, and provide technology, venue and facility services.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is obligated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venues, facilities and services for futures trading;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design derivative contracts and arrange the listings thereof;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and supervise trading, clearing and delivery;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centralized performance guarantee for futures trading;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formulate and improve rules and regulations, strengthen the risk control in futures trading activities and the supervision of Members, Overseas Special Participants (“OSPs”) and the staff of the Exchange, and urge Members and OSPs to reinforce the management of their Clients’ trading activities;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formulate and enforce the General Exchange Rules of the Exchange and the implementing rules thereof;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publish market information;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carry out marketing activities, and provide personnel and business training;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regulate the futures business of Members, OSPs, Overseas Intermediaries, Clients, Designated Delivery Storage Facilities, Designated Depository Banks, and other futures market participants;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investigate and discipline rule violations;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perform other responsibilities prescribed by the China Securities Regulatory Commission (the “CSRC”).</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3 </w:t>
      </w:r>
      <w:r>
        <w:rPr>
          <w:rFonts w:hint="eastAsia"/>
          <w:lang w:val="en-US" w:eastAsia="zh-CN"/>
        </w:rPr>
        <w:t xml:space="preserve"> </w:t>
      </w:r>
      <w:r>
        <w:t>Shares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report to the</w:t>
      </w:r>
      <w:r>
        <w:rPr>
          <w:rFonts w:ascii="Times New Roman" w:hAnsi="Times New Roman" w:eastAsia="仿宋_GB2312" w:cs="Times New Roman"/>
          <w:b/>
          <w:color w:val="000000"/>
          <w:sz w:val="30"/>
          <w:szCs w:val="30"/>
        </w:rPr>
        <w:t xml:space="preserve"> </w:t>
      </w:r>
      <w:r>
        <w:rPr>
          <w:rFonts w:ascii="Times New Roman" w:hAnsi="Times New Roman" w:eastAsia="仿宋_GB2312" w:cs="Times New Roman"/>
          <w:color w:val="000000"/>
          <w:sz w:val="30"/>
          <w:szCs w:val="30"/>
        </w:rPr>
        <w:t>CSRC about its issuance of any shares.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Any shares issued by the Exchange shall be registered with a legal registration authority.</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may increase its capital by issuing RMB common shares or other types of shares to its existing shareholders or other legal persons or individuals within or out of the Chinese Mainland, if it deems necessary for its business operation and development.</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In accordance with the laws, the administrative regulations, the ministerial rules and these Articles of Association, the Exchange may, upon the resolutions made at the shareholders’ general meeting, increase its registered capital by offering shares, issuing bonus to existing shareholders, converting capital reserve into capital stock and any other methods prescribed by laws and administrative regulations, and approved by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Exchange may reduce its registered capital. </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The Exchange shall reduce its registered capital in accordance with the procedures prescribed by </w:t>
      </w:r>
      <w:r>
        <w:rPr>
          <w:rFonts w:ascii="Times New Roman" w:hAnsi="Times New Roman" w:eastAsia="仿宋_GB2312" w:cs="Times New Roman"/>
          <w:i/>
          <w:color w:val="000000"/>
          <w:sz w:val="30"/>
          <w:szCs w:val="30"/>
        </w:rPr>
        <w:t>the Company Law</w:t>
      </w:r>
      <w:r>
        <w:rPr>
          <w:rFonts w:ascii="Times New Roman" w:hAnsi="Times New Roman" w:eastAsia="仿宋_GB2312" w:cs="Times New Roman"/>
          <w:color w:val="000000"/>
          <w:sz w:val="30"/>
          <w:szCs w:val="30"/>
        </w:rPr>
        <w:t>, other related regulations and these Articles of Association, and report to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acquire its own shares in accordance with the procedures prescribed by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shares of the Exchange may be transferred in accordance with the law. Share transfer, or disposition in other means, by the shareholders of the Exchange shall be reported to the CSRC.</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The other shareholder(s) shall have the pre-emption right to the shares transferred by a shareholder.</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Shares of the Exchange shall not be accepted as the underlying of pledge at the Exchange.</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If the shareholders of the Exchange set any security rights such as pledge or any other third parties’ rights and interests over their shares of the Exchange, the Exchange shall report to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Shares of the Exchange held by the initiators shall not be transferred within one (1) year after the establishment of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4 </w:t>
      </w:r>
      <w:r>
        <w:rPr>
          <w:rFonts w:hint="eastAsia"/>
          <w:lang w:val="en-US" w:eastAsia="zh-CN"/>
        </w:rPr>
        <w:t xml:space="preserve"> </w:t>
      </w:r>
      <w:r>
        <w:rPr>
          <w:sz w:val="32"/>
          <w:szCs w:val="32"/>
        </w:rPr>
        <w:t>Shareholders</w:t>
      </w:r>
      <w:r>
        <w:t xml:space="preserve"> And Shareholders’ General Meeting</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 xml:space="preserve">Part I </w:t>
      </w:r>
      <w:r>
        <w:rPr>
          <w:rFonts w:hint="eastAsia"/>
          <w:lang w:val="en-US" w:eastAsia="zh-CN"/>
        </w:rPr>
        <w:t xml:space="preserve"> </w:t>
      </w:r>
      <w:r>
        <w:t>Shareholders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20 </w:t>
      </w:r>
      <w:r>
        <w:rPr>
          <w:rFonts w:ascii="Times New Roman" w:hAnsi="Times New Roman" w:eastAsia="仿宋_GB2312" w:cs="Times New Roman"/>
          <w:color w:val="000000"/>
          <w:sz w:val="30"/>
          <w:szCs w:val="30"/>
        </w:rPr>
        <w:t>The Exchange’s shareholders are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share profits in proportion to its shareholding ratio;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request, convene, preside over and attend by itself or by delegate the shareholders’ general meeting, and vote at such meeting appropriately in accordance with the law;</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transfer, bestow or pledge the shares they hold in accordance with the laws, the administrative regulations, the ministerial rules and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suggestions or make enquiries on the operations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these Articles of Association, the shareholders’ register, the register of bonds issued by the Exchange, the minutes of shareholders’ general meetings, the resolutions of the meetings of the Board of Directors, the resolutions of the meetings of the Supervisory Board, and the financial statements;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any other rights prescribed by the laws, the administrative regulations, the ministerial rules and these Articles of Association.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21 </w:t>
      </w:r>
      <w:r>
        <w:rPr>
          <w:rFonts w:ascii="Times New Roman" w:hAnsi="Times New Roman" w:eastAsia="仿宋_GB2312" w:cs="Times New Roman"/>
          <w:color w:val="000000"/>
          <w:sz w:val="30"/>
          <w:szCs w:val="30"/>
        </w:rPr>
        <w:t>If a shareholder requests to access or obtain relevant information or materials as provided in the preceding article, the shareholder shall submit to the Exchange written documents evidencing the type and number of the shares held in the Exchange. The Exchange shall provide the requested information or materials to the shareholder after verifying the identity of such shareholder.</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22 </w:t>
      </w:r>
      <w:r>
        <w:rPr>
          <w:rFonts w:ascii="Times New Roman" w:hAnsi="Times New Roman" w:eastAsia="仿宋_GB2312" w:cs="Times New Roman"/>
          <w:color w:val="000000"/>
          <w:sz w:val="30"/>
          <w:szCs w:val="30"/>
        </w:rPr>
        <w:t>A shareholder is entitled to apply to the people’s court for an order to invalidate the resolutions of the Exchange’s shareholders’ general meeting or meeting of the Board of Directors, if such resolutions are in violation of the laws, the administrative regulations or the ministerial rules.</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A shareholder is entitled to apply to the people’s court for an order to revoke the resolution of the Exchange’s shareholders’ general meeting or meeting of the Board of Directors within sixty (60) days after the resolution is passed, if the convening procedures or the methods of voting at such meetings are in violation of the </w:t>
      </w:r>
      <w:r>
        <w:rPr>
          <w:rFonts w:ascii="Times New Roman" w:hAnsi="Times New Roman" w:eastAsia="仿宋_GB2312"/>
          <w:color w:val="000000"/>
          <w:kern w:val="0"/>
          <w:sz w:val="30"/>
          <w:szCs w:val="30"/>
        </w:rPr>
        <w:t>laws</w:t>
      </w:r>
      <w:r>
        <w:rPr>
          <w:rFonts w:ascii="Times New Roman" w:hAnsi="Times New Roman" w:eastAsia="仿宋_GB2312"/>
          <w:color w:val="000000"/>
          <w:sz w:val="30"/>
          <w:szCs w:val="30"/>
        </w:rPr>
        <w:t>, the administrative regulations, the ministerial rules or these Articles of Association, or if such resolution is in violation of these Articles of Association.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shareholders shall assume the following obligations: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to abide by the laws, the administrative regulations, the ministerial rules and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to contribute capital according to the number of shares they subscribed for and the method of subscription;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(3)</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withdraw their capital contributions from the Exchange except otherwise prescribed by the laws, the administrative regulations and the ministerial rules;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(4)</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harm the rights and interests of the Exchange by abusing the shareholder’s rights; not to harm the rights and interests of the Exchange’s creditors by abusing the Exchange’s independent status as a legal person and the shareholder’s limited liability;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(5)</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any other obligations that should be assumed by the shareholders under the laws, the administrative regulations, the ministerial rules and these Articles of Association.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shareholder abuses the Exchange’s independent status as a legal person and the shareholder’s limited liability to evade repayment of debts, and thus causes material damages to the interests of the Exchange’s creditors, such shareholder shall be jointly liable for the Exchange’s debts.</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Shareholders of the Exchange </w:t>
      </w:r>
      <w:r>
        <w:rPr>
          <w:rFonts w:ascii="Times New Roman" w:hAnsi="Times New Roman" w:eastAsia="仿宋_GB2312"/>
          <w:color w:val="000000"/>
          <w:kern w:val="0"/>
          <w:sz w:val="30"/>
          <w:szCs w:val="30"/>
        </w:rPr>
        <w:t>shall</w:t>
      </w:r>
      <w:r>
        <w:rPr>
          <w:rFonts w:ascii="Times New Roman" w:hAnsi="Times New Roman" w:eastAsia="仿宋_GB2312"/>
          <w:color w:val="000000"/>
          <w:sz w:val="30"/>
          <w:szCs w:val="30"/>
        </w:rPr>
        <w:t xml:space="preserve"> not harm the Exchange’s interests by connection relationship. Shareholders who cause losses to the Exchange due to their violation of rules shall be liable for damages.</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 xml:space="preserve">Part II </w:t>
      </w:r>
      <w:r>
        <w:rPr>
          <w:rFonts w:hint="eastAsia"/>
          <w:lang w:val="en-US" w:eastAsia="zh-CN"/>
        </w:rPr>
        <w:t xml:space="preserve"> </w:t>
      </w:r>
      <w:r>
        <w:t>Shareholders’ General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comprised of all shareholders, shall be the highest authority of the Exchange and shall exercise the following functions and powers in accordance with the law:</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Articles of Association, the General Exchange Rules of the Exchange and the amendments thereto;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annual budget plan and the financial report;</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Exchange’s plans for profit distribution or loss recovery;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usage of the Exchange’s risk reserve funds;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increase or reduction of the Exchange’s registered capital;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Exchange’s merger, division, dissolution or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offering of corporate bonds;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elect and replace Directors, or Supervisors who are not staff representatives, and make decisions on matters related to the remuneration of relevant Directors and Supervisors;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work reports prepared by the Board of Directors and the Supervisory Board of the Exchange;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functions and powers prescribed in the laws, the administrative regulations, the ministerial rules and these Articles of Association.</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Matters set out in items (1), (5) and (6) of the preceding paragraph are special matters for resolution, which shall be passed with more than two thirds (2/3) of the total votes holding by shareholders (including the shareholder’s proxy) present at the shareholders’ general meeting; and the other matters are ordinary matters for resolution, which shall be passed with more than one half (1/2) of the total votes holding by shareholders (including the shareholder’s proxy) present at the shareholders’ general meeting.</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The shareholders’ general meeting may delegate some of the above functions and powers to the Board of Directors as it deems appropriate.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Any guarantee provided by the Exchange to a third party shall be reviewed and approved at the shareholders’ general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meetings are classified into annual meetings and interim meetings.</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shareholders’ annual general meeting shall be convened once a year within six (6) months after the end of the previous accounting year.</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any of the following circumstances occurs, the Exchange shall convene an interim general meeting within two (2) months after the occurrence thereof: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number of Directors is less than two thirds (2/3) of the number prescribed by</w:t>
      </w:r>
      <w:r>
        <w:rPr>
          <w:rFonts w:ascii="Times New Roman" w:hAnsi="Times New Roman" w:eastAsia="仿宋_GB2312"/>
          <w:i/>
          <w:color w:val="000000"/>
          <w:kern w:val="0"/>
          <w:sz w:val="30"/>
          <w:szCs w:val="30"/>
        </w:rPr>
        <w:t xml:space="preserve"> the Company Law</w:t>
      </w:r>
      <w:r>
        <w:rPr>
          <w:rFonts w:ascii="Times New Roman" w:hAnsi="Times New Roman" w:eastAsia="仿宋_GB2312"/>
          <w:color w:val="000000"/>
          <w:kern w:val="0"/>
          <w:sz w:val="30"/>
          <w:szCs w:val="30"/>
        </w:rPr>
        <w:t xml:space="preserve"> or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Exchange’s uncovered losses amount to one third (1/3) of the total paid-up capital;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upon request by shareholder(s) individually or in aggregate holding more than ten percent (10%) of the shares in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Board of Directors deems necessary;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the Supervisory Board proposes to convene an interim meeting; or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other circumstances prescribed by the laws, the administrative regulations, the ministerial rules or these Articles of Association.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shareholders’ general meeting shall be presided over by the Chairman of the Board of Directors.</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first shareholders’ general meeting shall be convened and presided over by the shareholder with the largest capital contribution to the Exchange.</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All the Directors, Supervisors, the President and Chief Executive Officer, and the Secretary of the Board of Directors (the “Board Secretary”) shall attend the shareholders’ general meeting, and other members of the senior management may be present as non-voting attendees.</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 shareholder may attend and vote at the shareholders’ general meeting in person or by proxy.</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29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shareholder shall vote in proportion to its capital contribution.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At the shareholders’ annual general meeting, the Board of Directors and the Supervisory Board shall report their work of the preceding year to the shareholders. Each Independent Director shall also report his or her work.</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Directors, the Supervisors and the senior management shall make explanations in response to the shareholder’s enquiries and suggestions at the shareholders’ general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Secretary shall be responsible for preparing meeting minutes of all matters resolved at the shareholders’ general meeting. The Directors, the Supervisors, the Board Secretary, the convener of the meeting or their respective proxy, and the host of the meeting shall sign on the meeting minutes.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minutes and the sound recordings of the meeting shall be kept in archive, together with the signature booklet, the power of attorney authorizing the proxy to attend the meeting and the valid materials on voting by other methods, for no less than twenty (20) years.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convener shall ensure the shareholders’ general meeting is held on a continuous basis until the final resolutions are achieved. In the event that the shareholders’ general meeting is suspended or the resolutions cannot be achieved due to special reasons such as force majeure, necessary steps shall be taken so as to resume the shareholders’ general meeting as soon as possible, or directly conclude the current shareholders’ general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report all documents of shareholders’ general meetings to the CSRC within ten (10) days following the close of the meetings.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Chapter 5  Board Of Directors</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Part I  Directors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term of office of Directors shall be three (3) years. Directors may serve consecutive terms if consecutively selected.</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upon the expiry of a Director’s term of office, a new Director is not timely elected, or a Director resigns during his or her term of office, which both lead to the number of Board members falls below the statutory minimum number, the original Director shall continue to perform the responsibilities as a Director in accordance with the laws, the administrative regulations, the ministerial rules and these Articles of Association until a new Director is elected and takes office.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abide by the laws, the administrative regulations, the ministerial rules and these Articles of Association, and shall bear the following duties of loyalty to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take the advantage of authority to take bribery or other illicit income; not to misappropriate the Exchange’s assets;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deposit the Exchange’s assets or funds into accounts opened in his or her own name or in any third party’s names;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(3)</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not to utilize connection relationship to harm the Exchange’s interest;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(4)</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any other duties of loyalty prescribed by the laws, the administrative regulations, the ministerial rules and these Articles of Association.</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Any income of the Directors arising from the violation of this Article shall belong to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abide by the laws, the administrative regulations, the ministerial rules and these Articles of Association, and shall bear the following duties of care to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the rights granted by the Exchange with prudence, care and diligence, so as to ensure that the Exchange’s commercial conducts meet the requirements of the laws, the administrative regulations, the ministerial rules and each economic policy of the PRC, and that its commercial activities do not exceed the business scope stated in the business license;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provide relevant information and materials to the Supervisory Board truthfully, and not to obstruct the Supervisory Board from exercising it functions and powers;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any other duties of care prescribed by the laws, the administrative regulations, the ministerial rules and these Articles of Association.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Director fails to attend meetings of the Board of Directors, or fails to authorize another Director to attend on his or her behalf, for two consecutive times, the Director shall be deemed incapable of performing duties, and the Board of Directors shall suggest the shareholders’ general meeting to dismiss and replace such Director.</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may resign before the terms of office expire by submitting a written resignation report to the Board of Directors. A Director’s resignation shall take effect upon the delivery of the resignation report to the Board of Directors, except for the circumstance prescribed in Article 34.</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39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a Director’s resignation takes effect or the term of office expires, the Director shall complete all the hand-over procedures to the Board of Directors.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Without being provided by these Articles of Association or duly authorized by the Board of Directors, no Director may act on behalf of the Exchange or the Board of Directors in his or her own name. When a Director is acting in his or her own name while nevertheless a third party possibly believes that such Director is acting on behalf of the Exchange or the Board of Directors, such Director shall state his or her position and identify in advance.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have Independent Director(s), who shall be approved by the shareholders’ general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Director who causes losses to the Exchange due to his or her violation of the laws, the administrative regulations, the ministerial rules or these Articles of Association while performing his or her duties at the Exchange, such Director shall be liable for damages.</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pPr>
      <w:r>
        <w:t>Part II  Board of Directors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set up a Board of Directors. The Board of Directors shall consist of five (5) to nine (9) Directors, including one (1) Chairman of the Board of Directors and one (1) Vice Chairman of the Board of Directors. The Chairman and Vice Chairman of the Board of Directors shall be elected by more than half (1/2) of all the Board Directors. The Chairman of the Board of Directors shall not concurrently serve as the President and Chief Executive Officer of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is accountable to the shareholders’ general meeting, and is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convene and report work to the shareholders’ general meeting;</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the Articles of Association and the General Exchange Rules of the Exchange and any amendments thereto, and submit such documents to the shareholders’ general meeting for review and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the Exchange’s plans for profit distribution and loss recovery, and submit them to the shareholders’ general meeting for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budget plan and the financial report proposed by the President and Chief Executive Officer, and submit them to the shareholders’ general meeting for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Exchange’s external investment plan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 xml:space="preserve">draft plans for increasing or reducing the Exchange’s registered capital and for issuing corporate bonds, and submit these plans to the shareholders’ general meeting for approval; </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to review and approve any plans on the Exchange’s merger, division, dissolution and liquidation, and submit them to the shareholders’ general meeting for approval;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supervise the President and Chief Executive Officer’s implementation of resolutions passed by the shareholders’ general meeting and the meeting of the Board of Directors;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Exchange’s set-up of internal organization and special committees;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approval and revocation of the Exchange’s Membership and qualification of Overseas Special Participants (“OSP”s);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disciplinary actions on conducts subject to rule violation;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changes in the name, domicile or business venues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implementing rules and measures formulated pursuant to these Articles of Association and the</w:t>
      </w:r>
      <w:r>
        <w:rPr>
          <w:rFonts w:ascii="Times New Roman" w:hAnsi="Times New Roman"/>
          <w:sz w:val="30"/>
          <w:szCs w:val="30"/>
        </w:rPr>
        <w:t xml:space="preserve"> </w:t>
      </w:r>
      <w:r>
        <w:rPr>
          <w:rFonts w:ascii="Times New Roman" w:hAnsi="Times New Roman" w:eastAsia="仿宋_GB2312"/>
          <w:color w:val="000000"/>
          <w:kern w:val="0"/>
          <w:sz w:val="30"/>
          <w:szCs w:val="30"/>
        </w:rPr>
        <w:t>General Exchange Rules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plan on the usage of the Exchange’s risk reserve funds;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development plan and the annual work plan of the Exchange proposed by the President and Chief Executive Officer;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the audit of the Exchange’s annual financial reports, and determine the appointment and replacement of accounting firms;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and approve the incentive measures of the Exchange;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exercise any other functions and powers prescribed by the laws, the administrative regulations, the ministerial rules and these Articles of Association, or conferred by the shareholders’ general meeting.</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Board of Directors may, as it deems appropriate, authorize the President and Chief Executive Officer to exercise part of the above functions and powers.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determine the limits of authority for external investment, purchase and sale of assets, mortgage of assets, , entrusted asset management and related-party transactions, and establish strict review and decision-making procedures; organize relevant experts and professionals to review significant investment projects, and submit them to the shareholders’ general meetings for approval.</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determine the remuneration, reward and punishment of the President and Chief Executive Officer, the Executive Vice President, and other members of the senior management.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Chairman of the Board of Directors is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preside over Board meetings and the routine work of the Board;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and coordinate the work of special committees;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review the implementation of the Board’s resolutions and report it to the Board;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perform any other duties and powers conferred by the Board.</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Vice Chairman of the Board shall assist the Chairman in performing duties.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meeting shall be convened and presided over by the Chairman. In the event of being unable to discharge the duties for some reasons, the Chairman shall designate a Vice Chairman or a Director to act on his or her behalf. If the Chairman is unable to or fails to perform his or her duties, the Vice Chairman shall convene and preside over the Board meeting. If the Vice Chairman is unable to or fails to perform such duties, more than half (1/2) of the Directors shall jointly elect one (1) Director to convene and preside over the Board meeting.</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convening and deliberation rules of the Board meeting shall follow the stipulations in these Articles of Association.</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Within ten (10) days after the close of a Board meeting, the Board shall report the resolutions and other documents of meeting to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49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Meetings shall be convened at least twice per year. All the Directors and Supervisors shall be notified of the meeting ten (10) days in advance.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Shareholder(s) with more than one tenth (1/10) of voting rights or more than one third (1/3) of the Directors or the Supervisory Board may propose to convene an interim Board meeting. The Chairman of the Board shall convene and preside over interim Board meetings within five (5) days following the receipt of such proposals.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Board meeting is valid only if attended by more than half (1/2) of all the Directors. Resolutions adopted at the meeting shall be valid only if consented by more than half (1/2) of all the Directors.</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Each Director shall have one vote on each matter to be resolved at the Board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voting methods at the Board meeting include: open ballot, closed ballot, voting by a show of hands or other methods.</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Voting at interim Board meetings may be conducted via video conferencing or other means of communication, provided that the Directors’ opinions are sufficiently expressed.</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 Director shall be present at the Board meeting in person. If a Director is unable to attend for any reason, he or she may designate another Director in writing to attend such meeting on his or her behalf. The written designation shall indicate the name of the delegate, the matter delegated, the scope of the authority, and the period of validity, and shall be signed by the principal or affixed with the principal’s seal. The Director who attends the meeting on another Director’s behalf shall excise the rights of the Director within the scope of authorization. Any Director who neither attends a Board meeting nor authorizes another Director to attend on his or her behalf shall be deemed to have given up his or her voting rights at such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prepare minutes of any decisions made on matters discussed at each meeting. The minutes shall be signed by all Directors present at the meeting.</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Minutes of Board meetings shall record the ways of voting and the results of each matter for resolution.</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Minutes of Board meetings shall be kept in the Exchange’s archives for no less than twenty (20) years.</w:t>
      </w:r>
    </w:p>
    <w:p>
      <w:pPr>
        <w:pStyle w:val="7"/>
        <w:keepNext w:val="0"/>
        <w:keepLines w:val="0"/>
        <w:pageBreakBefore w:val="0"/>
        <w:tabs>
          <w:tab w:val="left" w:pos="1134"/>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Special committees, including the strategy and plan committee and the remuneration committee, shall be established under the Board of Directors.</w:t>
      </w:r>
    </w:p>
    <w:p>
      <w:pPr>
        <w:pStyle w:val="7"/>
        <w:keepNext w:val="0"/>
        <w:keepLines w:val="0"/>
        <w:pageBreakBefore w:val="0"/>
        <w:tabs>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Special committees shall assist the Board in performing its duties. Each special committee is accountable to the Board, and its duties shall be prescribed by the Board.</w:t>
      </w:r>
    </w:p>
    <w:p>
      <w:pPr>
        <w:pStyle w:val="7"/>
        <w:keepNext w:val="0"/>
        <w:keepLines w:val="0"/>
        <w:pageBreakBefore w:val="0"/>
        <w:tabs>
          <w:tab w:val="left" w:pos="1134"/>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may have a Board Secretary, who shall be appointed or dismissed by the Board.</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Board Secretary is responsible for matters including the preparation of shareholders’ general meetings and Board meetings, documents retention, and the management of the Exchange’s shareholder materials.</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rPr>
          <w:sz w:val="32"/>
          <w:szCs w:val="32"/>
        </w:rPr>
        <w:t>Chapter</w:t>
      </w:r>
      <w:r>
        <w:t xml:space="preserve"> 6  Senior Management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Exchange shall have one (1) President and Chief Executive Officer and a number of Executive Vice Presidents. The President and Chief Executive Officer shall be appointed or dismissed by the Board. The Executive Vice Presidents shall be appointed or dismissed by the Board based on the nomination of the President and Chief Executive Officer. </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President and Chief Executive Officer shall be a Director. Each term of office shall be three (3) years, and no more than two (2) consecutive terms shall be served.</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President and Chief Executive Officer, the Executive Vice Presidents and the Board Secretary are members of the senior management, who shall possess necessary qualifications specified in the laws and regulations.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Provisions in these Articles of Association on a Director’s duties of loyalty and care shall also apply to the senior management.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President and Chief Executive Officer is accountable to the Board of Directors, and is entitled to:</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organize the implementation of rules and resolutions passed at the shareholders’ general meetings and the Board meetings;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preside over the Exchange’s routine work;</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implementing rules and measures pursuant to these Articles of Association and the General Exchange Rules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plans on the usage of risk reserve funds;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and execute the Exchange’s approved development plan and annual work plan;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and execute the Exchange’s approved external investment plans;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the Exchange’s budget plan and financial report;</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(8)</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draw plans on the Exchange’s merger, division, dissolution and liquidation ;</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(9)</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to draft plans on the changes of name, domicile or business venues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(10)</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to take the measures of forced position reduction;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draft plans on the Exchange’s organizational structure, and the appointment and dismissal of the Exchange’s employees;</w:t>
      </w:r>
    </w:p>
    <w:p>
      <w:pPr>
        <w:keepNext w:val="0"/>
        <w:keepLines w:val="0"/>
        <w:pageBreakBefore w:val="0"/>
        <w:tabs>
          <w:tab w:val="left" w:pos="709"/>
          <w:tab w:val="left" w:pos="2127"/>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determine the remuneration, reward and punishment of the Exchange’s employees;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 xml:space="preserve"> perform any other duties prescribed by administrative regulations, ministerial rules and these Articles of Association or the Board.</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In the event of being unable to discharge his or her responsibilities for any reason, the President and Chief Executive Officer shall designate one Executive Vice President to perform on his or her behalf.</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59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President and Chief Executive Officer may resign before his or her term of office expires.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60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member of the senior management violates laws, regulations, ministerial rules or these Articles of Associations when performing his or her duties, and thus causes losses to the Exchange, such member shall be liable for the compensation.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w:t>
      </w:r>
      <w:r>
        <w:rPr>
          <w:rFonts w:hint="eastAsia"/>
          <w:lang w:val="en-US" w:eastAsia="zh-CN"/>
        </w:rPr>
        <w:t>7</w:t>
      </w:r>
      <w:r>
        <w:t xml:space="preserve">  Basic Business Systems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6</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Futures trading shall be conducted through the Exchange by centralized and public way in accordance with relevant rules, or in other ways approved by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regulate all futures trading activities and control market risks by implementing margin requirements, all-member clearing , risk reserve, daily mark-to-market, price limit, position limit, hedge quota management, large trader position report, forced position liquidation, a risk warning, etc.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Chapter</w:t>
      </w:r>
      <w:r>
        <w:rPr>
          <w:rFonts w:hint="eastAsia"/>
          <w:lang w:val="en-US" w:eastAsia="zh-CN"/>
        </w:rPr>
        <w:t xml:space="preserve"> 8</w:t>
      </w:r>
      <w:r>
        <w:t xml:space="preserve">  Financial Accounting System And Internal Control System</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formulate a financial accounting system in accordance with the laws, administrative regulations, ministerial rules and the provisions of relevant state authorities.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file its annual financial accounting reports to the CSRC within four (4) months following the end of every accounting year.</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annual financial accounting reports shall be prepared in accordance with relevant laws, administrative regulations, and ministerial rules.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Except for the statutory account books, the Exchange shall not set up other account books. No assets of the Exchange may be deposited into any individual’s account.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Exchange distributes its profit-after-tax of the current year, it shall draw ten percent (10%) of the profits as the Exchange’s statutory reserve. If the accumulative statutory reserve is more than fifty percent (50%) of the Exchange’s registered capital, such drawing shall be stopped.</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the Exchange’s statutory reserve is not enough to make up for the losses of the previous year, the current year’s profits shall first be used for making up the losses before drawing for the statutory reserve as stated in the preceding paragraph.</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drawing statutory reserve from profit-after-tax, the Exchange may, subject to the resolution of the shareholders’ general meeting, draw discretionary reserve from the profit-after-tax.</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the losses are made up and the statutory reserve is drawn, subject to the resolution of the shareholders’ general meeting, the Exchange’s profit-after-tax may be distributed pro rata to the shareholders.</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The Exchange’s distribution of profits to its shareholders shall be reported to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Exchange’s statutory reserve shall be used to make up for the losses, expand the business and operations, or increase the capital of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After the profit distribution plan is approved by the shareholders’ general meeting of the Exchange and reported to the CSRC, the Board of Directors of the Exchange shall complete the distribution of dividends (or shares) within two (2) months after the shareholders’ general meeting.</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69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may charge commission fees, information fees and other fees.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7</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In order to ensure the normal operation of the market and to prevent and mitigate market risks, the Exchange shall draw risk reserve funds in accordance with relevant rules.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establish an effective internal control system in accordance with rules of relevant competent authorities on the internal control of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clearly define the objectives, duties and responsibilities of each department and position, and establish corresponding rules on authorization, examination and tiered accountability, so as to ensure the performance of these duties within the scope of authorization.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establish and improve specific internal management systems such as financial management, asset management, IT security management and human resource management, etc.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establish a check-and-balance mechanism and a supervisory mechanism among related departments and positions, and an internal audit department that is exclusively responsible for supervision and examination.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appoint accounting firms with securities and futures business qualifications to audit financial statements, conduct net asset verification and provide other related consulting services.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appointment and audit fees of accounting firm shall be determined by the Board of Directors.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undertake to provide the accounting firms authentic and complete accounting documents, accounting books, financial accounting reports and other accounting materials, and shall not refuse to provide, conceal, or misrepresent the above materials.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Board of Directors of the Exchange is voting to decide whether to dismiss or discontinue appointing an accounting firm, the accounting firm is allowed to state its opinions.</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t xml:space="preserve">Chapter 10  </w:t>
      </w:r>
      <w:r>
        <w:rPr>
          <w:sz w:val="32"/>
          <w:szCs w:val="32"/>
        </w:rPr>
        <w:t>Change</w:t>
      </w:r>
      <w:r>
        <w:t>, Termination And Liquidation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79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merger and division of the Exchange are subject to the CSRC’s approval. The merger of the Exchange may take the forms of absorption or new establishment.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8</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creditor’s rights and debts of each merging party upon the merger of the Exchange shall be assumed by the acquiring company or the newly-established company after merger.</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8</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Exchange is to undergo division, its assets shall be divided accordingly, and its creditor’s rights and debts shall be assumed by the companies resulting from the division.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When the Exchange needs to reduce its registered capital, a balance sheet and a schedule of assets shall be prepared.</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capital reduction, the Exchange’s registered capital shall not fall below the statutory minimum capital amount.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Any merger or division of the Exchange or change in its registered items shall be filed with the industrial and commercial registration authority in accordance with laws; any establishment of a new Exchange shall be registered in accordance with laws. </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Any increase or reduction of the registered capital of the Exchange shall be filed with the industrial and commercial registration authority pursuant to procedures set out in pertinent laws and regulations.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Exchange shall be dissolved if:</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shareholders’ general meeting determines to dissolve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CSRC mandates closure of the Exchange.</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Dissolution as provided in Article 91 (1) shall be reported to the CSRC.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Public announcement shall be made with respect to the termination of the Exchange due to merger, division or dissolution.</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 liquidation team shall be set up to liquidate the assets of the Exchange that is terminated.</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liquidation team shall exercise the following duties and powers in the course of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identify the Exchange’s assets, and prepare a balance sheet and a schedule of assets respectively;</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notify creditors through notice or public announcement;</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handle the Exchange’s ongoing businesses related to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pay off all taxes owed and taxes incurred in the course of liquidation;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clear up creditor’s rights and debts of the Exchange;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(6)</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dispose the remaining assets of the Exchange after full repayment of debts; and</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(7)</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participate in civil actions on behalf of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 xml:space="preserve">The liquidation procedures shall be conducted in accordance with relevant provisions of </w:t>
      </w:r>
      <w:r>
        <w:rPr>
          <w:rFonts w:ascii="Times New Roman" w:hAnsi="Times New Roman" w:eastAsia="仿宋_GB2312" w:cs="Times New Roman"/>
          <w:i/>
          <w:color w:val="000000"/>
          <w:sz w:val="30"/>
          <w:szCs w:val="30"/>
        </w:rPr>
        <w:t>the Company Law</w:t>
      </w:r>
      <w:r>
        <w:rPr>
          <w:rFonts w:ascii="Times New Roman" w:hAnsi="Times New Roman" w:eastAsia="仿宋_GB2312" w:cs="Times New Roman"/>
          <w:color w:val="000000"/>
          <w:sz w:val="30"/>
          <w:szCs w:val="30"/>
        </w:rPr>
        <w: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After identifying the Exchange’s assets and preparing the balance sheet and schedule of assets, the liquidation team shall prepare a liquidation plan, which shall be submitted to the CSRC for approval, and then to the shareholders’ general meeting or the people’s court for ratification.</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After paying for liquidation expenses, salaries, social insurance and statutory compensation of the staff, and taxes owed, the Exchange shall distribute the remaining assets to the shareholders in proportion to their shareholding ratios.</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In the course of liquidation, the Exchange shall continue to exist, but may not conduct businesses irrelevant to liquidation. Before the liquidation of the Exchange’s assets as prescribed in the preceding paragraph, such assets shall not be distributed to the shareholders.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89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the liquidation team finds that the Exchange does not have sufficient assets to repay its debts after asset identification and preparation of the balance sheet and schedule of assets, the team shall report to the CSRC, and then file a bankruptcy petition with the people’s court in accordance with the law.</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Once the Exchange is declared bankrupt by the people’s court, the liquidation team shall refer the liquidation to the people’s court.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9</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Upon completion of the Exchange’s liquidation, the liquidation team shall prepare a liquidation report, which shall be submitted to the shareholders’ general meeting or the people’s court for ratification. Such report shall also be submitted to the industrial and commercial registration authority for the de-registration of the Exchange, and make a public announcement of the Exchange’s termination.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9</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Members of the liquidation team shall faithfully perform their duties and carry out their liquidation obligations in accordance with the law.</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Members of the liquidation team shall not take advantage of their authorities to accept bribery or other illegal income, and shall not misappropriate the Exchange’s assets.</w:t>
      </w:r>
    </w:p>
    <w:p>
      <w:pPr>
        <w:pStyle w:val="7"/>
        <w:keepNext w:val="0"/>
        <w:keepLines w:val="0"/>
        <w:pageBreakBefore w:val="0"/>
        <w:tabs>
          <w:tab w:val="left" w:pos="567"/>
          <w:tab w:val="left" w:pos="980"/>
          <w:tab w:val="left" w:pos="1560"/>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 member of the liquidation team who causes loss to the Exchange or its creditors due to intentional misconduct or gross negligence shall be liable for damages.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the Exchange is declared bankrupt in accordance with the law, the bankruptcy liquidation shall be carried out in accordance with laws on enterprise bankruptcy.</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rPr>
          <w:sz w:val="32"/>
          <w:szCs w:val="32"/>
        </w:rPr>
        <w:t>Chapter</w:t>
      </w:r>
      <w:r>
        <w:t xml:space="preserve"> 11  Amendments To These Articles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93</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Under any of the following circumstances, the Exchange shall amend these Articles of Association: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(1)</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stipulations of these Articles of Association contradict the provisions of laws, administrative regulations and ministerial rules;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(2)</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stipulations in these Articles of Association are inconsistent with the change of circumstance of the Exchange; or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24"/>
        </w:rPr>
        <w:t>(3)</w:t>
      </w:r>
      <w:r>
        <w:rPr>
          <w:rFonts w:ascii="Times New Roman" w:hAnsi="Times New Roman" w:eastAsia="仿宋_GB2312"/>
          <w:color w:val="000000"/>
          <w:kern w:val="0"/>
          <w:sz w:val="24"/>
        </w:rPr>
        <w:tab/>
      </w:r>
      <w:r>
        <w:rPr>
          <w:rFonts w:ascii="Times New Roman" w:hAnsi="Times New Roman" w:eastAsia="仿宋_GB2312"/>
          <w:color w:val="000000"/>
          <w:kern w:val="0"/>
          <w:sz w:val="30"/>
          <w:szCs w:val="30"/>
        </w:rPr>
        <w:t>the shareholders’ general meeting decides to amend these Articles of Association.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94</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Any amendment to these Articles of Association by resolution of the shareholders’ general meeting shall be reported to the CSRC for approval. If any company registration item is involved, the Exchange shall complete the registration of such amendment in the industrial and commercial registration authority in accordance with the law.</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w:t>
      </w:r>
      <w:r>
        <w:rPr>
          <w:rFonts w:hint="eastAsia" w:ascii="Times New Roman" w:hAnsi="Times New Roman" w:eastAsia="仿宋_GB2312" w:cs="Times New Roman"/>
          <w:b/>
          <w:sz w:val="30"/>
          <w:lang w:val="en-US" w:eastAsia="zh-CN"/>
        </w:rPr>
        <w:t xml:space="preserve"> 95</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shall amend these Articles of Association in accordance with the resolution of the shareholders’ general meeting on the amendment of these Articles of Association and the CSRC’s review opinions.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left="600"/>
        <w:jc w:val="left"/>
        <w:textAlignment w:val="auto"/>
        <w:rPr>
          <w:rFonts w:ascii="Times New Roman" w:hAnsi="Times New Roman" w:eastAsia="仿宋_GB2312" w:cs="Times New Roman"/>
          <w:color w:val="000000"/>
          <w:sz w:val="30"/>
          <w:szCs w:val="30"/>
        </w:rPr>
      </w:pPr>
    </w:p>
    <w:p>
      <w:pPr>
        <w:pStyle w:val="3"/>
        <w:keepNext w:val="0"/>
        <w:keepLines w:val="0"/>
        <w:pageBreakBefore w:val="0"/>
        <w:kinsoku/>
        <w:wordWrap/>
        <w:overflowPunct/>
        <w:topLinePunct w:val="0"/>
        <w:autoSpaceDE/>
        <w:autoSpaceDN/>
        <w:bidi w:val="0"/>
        <w:adjustRightInd/>
        <w:snapToGrid/>
        <w:spacing w:line="560" w:lineRule="exact"/>
        <w:jc w:val="center"/>
        <w:textAlignment w:val="auto"/>
      </w:pPr>
      <w:r>
        <w:rPr>
          <w:sz w:val="32"/>
          <w:szCs w:val="32"/>
        </w:rPr>
        <w:t>Chapter</w:t>
      </w:r>
      <w:r>
        <w:t xml:space="preserve"> 12  Miscellaneous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b/>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96</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notices of the Exchange are delivered by the following methods:</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(1)</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in person;</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(2)</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by mail;</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(3)</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by electronic message;</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(4)</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by public circular;</w:t>
      </w:r>
    </w:p>
    <w:p>
      <w:pPr>
        <w:keepNext w:val="0"/>
        <w:keepLines w:val="0"/>
        <w:pageBreakBefore w:val="0"/>
        <w:tabs>
          <w:tab w:val="left" w:pos="709"/>
        </w:tabs>
        <w:kinsoku/>
        <w:wordWrap/>
        <w:overflowPunct/>
        <w:topLinePunct w:val="0"/>
        <w:autoSpaceDE/>
        <w:autoSpaceDN/>
        <w:bidi w:val="0"/>
        <w:adjustRightInd/>
        <w:snapToGrid/>
        <w:spacing w:line="560" w:lineRule="exact"/>
        <w:ind w:firstLine="600"/>
        <w:jc w:val="left"/>
        <w:textAlignment w:val="auto"/>
        <w:rPr>
          <w:rFonts w:ascii="Times New Roman" w:hAnsi="Times New Roman" w:eastAsia="仿宋_GB2312"/>
          <w:color w:val="000000"/>
          <w:kern w:val="0"/>
          <w:sz w:val="30"/>
          <w:szCs w:val="30"/>
        </w:rPr>
      </w:pPr>
      <w:r>
        <w:rPr>
          <w:rFonts w:ascii="Times New Roman" w:hAnsi="Times New Roman" w:eastAsia="仿宋_GB2312"/>
          <w:color w:val="000000"/>
          <w:kern w:val="0"/>
          <w:sz w:val="30"/>
        </w:rPr>
        <w:t>(5)</w:t>
      </w:r>
      <w:r>
        <w:rPr>
          <w:rFonts w:ascii="Times New Roman" w:hAnsi="Times New Roman" w:eastAsia="仿宋_GB2312"/>
          <w:color w:val="000000"/>
          <w:kern w:val="0"/>
          <w:sz w:val="30"/>
        </w:rPr>
        <w:tab/>
      </w:r>
      <w:r>
        <w:rPr>
          <w:rFonts w:ascii="Times New Roman" w:hAnsi="Times New Roman" w:eastAsia="仿宋_GB2312"/>
          <w:color w:val="000000"/>
          <w:kern w:val="0"/>
          <w:sz w:val="30"/>
          <w:szCs w:val="30"/>
        </w:rPr>
        <w:t>other methods prescribed by the Exchange.</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97</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notified by public circular, once the circular is published, all the recipients are deemed to have received the notice on the first day of the circular publication.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98</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notice to convene a shareholders’ general meeting, a meeting of the Board of Directors and a meeting of the Supervisory Board shall be delivered by mail, electronic message or in person.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b/>
          <w:color w:val="000000"/>
          <w:sz w:val="30"/>
          <w:szCs w:val="30"/>
        </w:rPr>
      </w:pPr>
      <w:r>
        <w:rPr>
          <w:rFonts w:ascii="Times New Roman" w:hAnsi="Times New Roman" w:eastAsia="仿宋_GB2312" w:cs="Times New Roman"/>
          <w:b/>
          <w:sz w:val="30"/>
        </w:rPr>
        <w:t xml:space="preserve">Article </w:t>
      </w:r>
      <w:r>
        <w:rPr>
          <w:rFonts w:hint="eastAsia" w:ascii="Times New Roman" w:hAnsi="Times New Roman" w:eastAsia="仿宋_GB2312" w:cs="Times New Roman"/>
          <w:b/>
          <w:sz w:val="30"/>
          <w:lang w:val="en-US" w:eastAsia="zh-CN"/>
        </w:rPr>
        <w:t>99</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If a notice of the Exchange is delivered in person, the recipient shall sign (or affix seal) on the receipt, and the effective date shall be the day of delivery; if sent by mail, the notice shall be deemed delivered on the fifth (5</w:t>
      </w:r>
      <w:r>
        <w:rPr>
          <w:rFonts w:ascii="Times New Roman" w:hAnsi="Times New Roman" w:eastAsia="仿宋_GB2312" w:cs="Times New Roman"/>
          <w:color w:val="000000"/>
          <w:sz w:val="30"/>
          <w:szCs w:val="30"/>
          <w:vertAlign w:val="superscript"/>
        </w:rPr>
        <w:t>th</w:t>
      </w:r>
      <w:r>
        <w:rPr>
          <w:rFonts w:ascii="Times New Roman" w:hAnsi="Times New Roman" w:eastAsia="仿宋_GB2312" w:cs="Times New Roman"/>
          <w:color w:val="000000"/>
          <w:sz w:val="30"/>
          <w:szCs w:val="30"/>
        </w:rPr>
        <w:t>) business day of dispatch in the PRC and the tenth (10</w:t>
      </w:r>
      <w:r>
        <w:rPr>
          <w:rFonts w:ascii="Times New Roman" w:hAnsi="Times New Roman" w:eastAsia="仿宋_GB2312" w:cs="Times New Roman"/>
          <w:color w:val="000000"/>
          <w:sz w:val="30"/>
          <w:szCs w:val="30"/>
          <w:vertAlign w:val="superscript"/>
        </w:rPr>
        <w:t>th</w:t>
      </w:r>
      <w:r>
        <w:rPr>
          <w:rFonts w:ascii="Times New Roman" w:hAnsi="Times New Roman" w:eastAsia="仿宋_GB2312" w:cs="Times New Roman"/>
          <w:color w:val="000000"/>
          <w:sz w:val="30"/>
          <w:szCs w:val="30"/>
        </w:rPr>
        <w:t>) business day of dispatch outside the PRC.</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If a notice is given by electronic message, the notice shall be deemed delivered on the day the notice enters</w:t>
      </w:r>
      <w:r>
        <w:rPr>
          <w:rFonts w:ascii="Times New Roman" w:hAnsi="Times New Roman" w:cs="Times New Roman"/>
          <w:sz w:val="30"/>
          <w:szCs w:val="30"/>
        </w:rPr>
        <w:t xml:space="preserve"> </w:t>
      </w:r>
      <w:r>
        <w:rPr>
          <w:rFonts w:ascii="Times New Roman" w:hAnsi="Times New Roman" w:eastAsia="仿宋_GB2312" w:cs="Times New Roman"/>
          <w:color w:val="000000"/>
          <w:sz w:val="30"/>
          <w:szCs w:val="30"/>
        </w:rPr>
        <w:t>the recipient’s designated electronic messaging system; if no electronic messaging system is designated, the date of delivery shall be the first time the notice enters any system of the recipient.</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10</w:t>
      </w:r>
      <w:r>
        <w:rPr>
          <w:rFonts w:hint="eastAsia" w:ascii="Times New Roman" w:hAnsi="Times New Roman" w:eastAsia="仿宋_GB2312" w:cs="Times New Roman"/>
          <w:b/>
          <w:sz w:val="30"/>
          <w:lang w:val="en-US" w:eastAsia="zh-CN"/>
        </w:rPr>
        <w:t>0</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These Articles of Association are written in Chinese. In case of any discrepancy between these Articles of Association and versions in any other languages or any different version of articles of associations, the latest Chinese version approved by and registered with the registration authority shall prevail.</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10</w:t>
      </w:r>
      <w:r>
        <w:rPr>
          <w:rFonts w:hint="eastAsia" w:ascii="Times New Roman" w:hAnsi="Times New Roman" w:eastAsia="仿宋_GB2312" w:cs="Times New Roman"/>
          <w:b/>
          <w:sz w:val="30"/>
          <w:lang w:val="en-US" w:eastAsia="zh-CN"/>
        </w:rPr>
        <w:t>1</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terms “more than” and “within” shall be deemed to include the number that follows; while the term “fall below” shall be deemed to exclude the number that follows.</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b/>
          <w:sz w:val="30"/>
        </w:rPr>
        <w:t>Article 1</w:t>
      </w:r>
      <w:r>
        <w:rPr>
          <w:rFonts w:hint="eastAsia" w:ascii="Times New Roman" w:hAnsi="Times New Roman" w:eastAsia="仿宋_GB2312" w:cs="Times New Roman"/>
          <w:b/>
          <w:sz w:val="30"/>
          <w:lang w:val="en-US" w:eastAsia="zh-CN"/>
        </w:rPr>
        <w:t>02</w:t>
      </w:r>
      <w:r>
        <w:rPr>
          <w:rFonts w:ascii="Times New Roman" w:hAnsi="Times New Roman" w:eastAsia="仿宋_GB2312" w:cs="Times New Roman"/>
          <w:b/>
          <w:sz w:val="30"/>
        </w:rPr>
        <w:tab/>
      </w:r>
      <w:r>
        <w:rPr>
          <w:rFonts w:ascii="Times New Roman" w:hAnsi="Times New Roman" w:eastAsia="仿宋_GB2312" w:cs="Times New Roman"/>
          <w:color w:val="000000"/>
          <w:sz w:val="30"/>
          <w:szCs w:val="30"/>
        </w:rPr>
        <w:t>The Board of Directors of the Exchange reserves the right to interpret these Articles of Association.</w:t>
      </w:r>
    </w:p>
    <w:p>
      <w:pPr>
        <w:pStyle w:val="7"/>
        <w:keepNext w:val="0"/>
        <w:keepLines w:val="0"/>
        <w:pageBreakBefore w:val="0"/>
        <w:tabs>
          <w:tab w:val="left" w:pos="1276"/>
        </w:tabs>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hint="eastAsia" w:ascii="Times New Roman" w:hAnsi="Times New Roman" w:cs="Times New Roman"/>
          <w:sz w:val="30"/>
          <w:szCs w:val="30"/>
          <w:lang w:val="en-US" w:eastAsia="zh-CN"/>
        </w:rPr>
      </w:pPr>
      <w:r>
        <w:rPr>
          <w:rFonts w:ascii="Times New Roman" w:hAnsi="Times New Roman" w:cs="Times New Roman"/>
          <w:b/>
          <w:sz w:val="30"/>
        </w:rPr>
        <w:t>Article 1</w:t>
      </w:r>
      <w:r>
        <w:rPr>
          <w:rFonts w:hint="eastAsia" w:ascii="Times New Roman" w:hAnsi="Times New Roman" w:cs="Times New Roman"/>
          <w:b/>
          <w:sz w:val="30"/>
          <w:lang w:val="en-US" w:eastAsia="zh-CN"/>
        </w:rPr>
        <w:t>03</w:t>
      </w:r>
      <w:r>
        <w:rPr>
          <w:rFonts w:ascii="Times New Roman" w:hAnsi="Times New Roman" w:cs="Times New Roman"/>
          <w:b/>
          <w:sz w:val="30"/>
        </w:rPr>
        <w:tab/>
      </w:r>
      <w:r>
        <w:rPr>
          <w:rFonts w:ascii="Times New Roman" w:hAnsi="Times New Roman" w:eastAsia="仿宋_GB2312" w:cs="Times New Roman"/>
          <w:color w:val="000000"/>
          <w:sz w:val="30"/>
          <w:szCs w:val="30"/>
        </w:rPr>
        <w:t>These Articles of Association shall come into force after being passed by the shareholders’ general meeting and approved by the CSRC.</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DF284"/>
    <w:rsid w:val="6FEDF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Times New Roman" w:hAnsi="Times New Roman" w:eastAsia="黑体"/>
      <w:b/>
      <w:bCs/>
      <w:kern w:val="44"/>
      <w:sz w:val="36"/>
      <w:szCs w:val="36"/>
    </w:rPr>
  </w:style>
  <w:style w:type="paragraph" w:styleId="3">
    <w:name w:val="heading 2"/>
    <w:basedOn w:val="2"/>
    <w:next w:val="1"/>
    <w:unhideWhenUsed/>
    <w:qFormat/>
    <w:uiPriority w:val="9"/>
    <w:pPr>
      <w:outlineLvl w:val="1"/>
    </w:pPr>
  </w:style>
  <w:style w:type="paragraph" w:styleId="4">
    <w:name w:val="heading 3"/>
    <w:basedOn w:val="3"/>
    <w:next w:val="1"/>
    <w:unhideWhenUsed/>
    <w:qFormat/>
    <w:uiPriority w:val="9"/>
    <w:pPr>
      <w:outlineLvl w:val="2"/>
    </w:pPr>
    <w:rPr>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2026-01-05T10:06:00Z</dcterms:created>
  <dc:creator>ji.shuoren</dc:creator>
  <cp:lastModifiedBy>ji.shuoren</cp:lastModifiedBy>
  <dcterms:modified xsi:type="dcterms:W3CDTF">2026-01-05T10:06:56Z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FFB8F68D93ADF253981C5B699754E9D9</vt:lpwstr>
  </property>
</Properties>
</file>