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29" w:rsidRDefault="00E96B29" w:rsidP="00E96B29">
      <w:pPr>
        <w:spacing w:line="360" w:lineRule="auto"/>
        <w:rPr>
          <w:rFonts w:ascii="Times New Roman" w:hAnsi="Times New Roman"/>
          <w:b/>
          <w:bCs/>
          <w:sz w:val="22"/>
        </w:rPr>
      </w:pPr>
      <w:r>
        <w:rPr>
          <w:rFonts w:ascii="Times New Roman" w:hAnsi="Times New Roman" w:hint="eastAsia"/>
          <w:b/>
          <w:bCs/>
          <w:sz w:val="22"/>
        </w:rPr>
        <w:t>Appendix 2</w:t>
      </w:r>
    </w:p>
    <w:p w:rsidR="00E96B29" w:rsidRDefault="00E96B29" w:rsidP="00E96B29">
      <w:pPr>
        <w:spacing w:line="360" w:lineRule="auto"/>
        <w:rPr>
          <w:rFonts w:ascii="Times New Roman" w:hAnsi="Times New Roman"/>
          <w:b/>
          <w:bCs/>
          <w:sz w:val="22"/>
        </w:rPr>
      </w:pPr>
    </w:p>
    <w:p w:rsidR="00E96B29" w:rsidRPr="0057124F" w:rsidRDefault="00E96B29" w:rsidP="00E96B29">
      <w:pPr>
        <w:snapToGrid w:val="0"/>
        <w:spacing w:afterLines="100" w:line="276" w:lineRule="auto"/>
        <w:jc w:val="center"/>
        <w:rPr>
          <w:rFonts w:ascii="Times New Roman" w:hAnsi="Times New Roman"/>
          <w:b/>
          <w:sz w:val="28"/>
          <w:szCs w:val="28"/>
        </w:rPr>
      </w:pPr>
      <w:r w:rsidRPr="00961FF1">
        <w:rPr>
          <w:rFonts w:ascii="Times New Roman" w:hAnsi="Times New Roman"/>
          <w:b/>
          <w:i/>
          <w:sz w:val="28"/>
          <w:szCs w:val="28"/>
        </w:rPr>
        <w:t>Low</w:t>
      </w:r>
      <w:r w:rsidRPr="00961FF1">
        <w:rPr>
          <w:rFonts w:ascii="Times New Roman" w:hAnsi="Times New Roman" w:hint="eastAsia"/>
          <w:b/>
          <w:i/>
          <w:sz w:val="28"/>
          <w:szCs w:val="28"/>
        </w:rPr>
        <w:t xml:space="preserve"> </w:t>
      </w:r>
      <w:r w:rsidRPr="00961FF1">
        <w:rPr>
          <w:rFonts w:ascii="Times New Roman" w:hAnsi="Times New Roman"/>
          <w:b/>
          <w:i/>
          <w:sz w:val="28"/>
          <w:szCs w:val="28"/>
        </w:rPr>
        <w:t>Sulfur Fuel Oil Futures Contract of the Shanghai International Energy Exchange</w:t>
      </w:r>
      <w:r w:rsidRPr="00D23B6C">
        <w:rPr>
          <w:rFonts w:ascii="Times New Roman" w:hAnsi="Times New Roman"/>
          <w:b/>
          <w:sz w:val="28"/>
          <w:szCs w:val="28"/>
        </w:rPr>
        <w:t xml:space="preserve"> (Revised and Restated)</w:t>
      </w:r>
    </w:p>
    <w:p w:rsidR="00E96B29" w:rsidRPr="00C4225D" w:rsidRDefault="00E96B29" w:rsidP="00E96B29">
      <w:pPr>
        <w:snapToGrid w:val="0"/>
        <w:spacing w:afterLines="100" w:line="276" w:lineRule="auto"/>
        <w:jc w:val="center"/>
        <w:rPr>
          <w:rFonts w:ascii="Times New Roman" w:hAnsi="Times New Roman" w:hint="eastAsia"/>
          <w:sz w:val="22"/>
        </w:rPr>
      </w:pPr>
      <w:r w:rsidRPr="002A4D08">
        <w:rPr>
          <w:rFonts w:ascii="Times New Roman" w:hAnsi="Times New Roman"/>
          <w:sz w:val="22"/>
        </w:rPr>
        <w:t>(Released and implemented on June 10, 2020; revised on September 16,</w:t>
      </w:r>
      <w:r>
        <w:rPr>
          <w:rFonts w:ascii="Times New Roman" w:hAnsi="Times New Roman"/>
          <w:sz w:val="22"/>
        </w:rPr>
        <w:t xml:space="preserve"> </w:t>
      </w:r>
      <w:r w:rsidRPr="002A4D08">
        <w:rPr>
          <w:rFonts w:ascii="Times New Roman" w:hAnsi="Times New Roman"/>
          <w:sz w:val="22"/>
        </w:rPr>
        <w:t xml:space="preserve">2021 for the first time, implemented </w:t>
      </w:r>
      <w:r>
        <w:rPr>
          <w:rFonts w:ascii="Times New Roman" w:hAnsi="Times New Roman"/>
          <w:sz w:val="22"/>
        </w:rPr>
        <w:t>on March 1, 2022; revised on June</w:t>
      </w:r>
      <w:r>
        <w:rPr>
          <w:rFonts w:ascii="Times New Roman" w:hAnsi="Times New Roman" w:hint="eastAsia"/>
          <w:sz w:val="22"/>
        </w:rPr>
        <w:t xml:space="preserve"> 27</w:t>
      </w:r>
      <w:r>
        <w:rPr>
          <w:rFonts w:ascii="Times New Roman" w:hAnsi="Times New Roman"/>
          <w:sz w:val="22"/>
        </w:rPr>
        <w:t xml:space="preserve">, </w:t>
      </w:r>
      <w:r w:rsidRPr="002A4D08">
        <w:rPr>
          <w:rFonts w:ascii="Times New Roman" w:hAnsi="Times New Roman"/>
          <w:sz w:val="22"/>
        </w:rPr>
        <w:t xml:space="preserve">2025 for the second time, implemented on </w:t>
      </w:r>
      <w:r w:rsidRPr="00FA4A7C">
        <w:rPr>
          <w:rFonts w:ascii="Times New Roman" w:hAnsi="Times New Roman"/>
          <w:sz w:val="22"/>
        </w:rPr>
        <w:t>January 1</w:t>
      </w:r>
      <w:r>
        <w:rPr>
          <w:rFonts w:ascii="Times New Roman" w:hAnsi="Times New Roman"/>
          <w:sz w:val="22"/>
        </w:rPr>
        <w:t>, 2026)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5"/>
        <w:gridCol w:w="5823"/>
      </w:tblGrid>
      <w:tr w:rsidR="00E96B29" w:rsidRPr="00D3456A" w:rsidTr="006F5308">
        <w:trPr>
          <w:trHeight w:val="355"/>
          <w:jc w:val="center"/>
        </w:trPr>
        <w:tc>
          <w:tcPr>
            <w:tcW w:w="1586" w:type="pct"/>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Product</w:t>
            </w:r>
          </w:p>
        </w:tc>
        <w:tc>
          <w:tcPr>
            <w:tcW w:w="3414" w:type="pct"/>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Low</w:t>
            </w:r>
            <w:r>
              <w:rPr>
                <w:rFonts w:ascii="Times New Roman" w:hAnsi="Times New Roman" w:hint="eastAsia"/>
                <w:sz w:val="22"/>
              </w:rPr>
              <w:t xml:space="preserve"> </w:t>
            </w:r>
            <w:r w:rsidRPr="00D3456A">
              <w:rPr>
                <w:rFonts w:ascii="Times New Roman" w:hAnsi="Times New Roman"/>
                <w:sz w:val="22"/>
              </w:rPr>
              <w:t>Sulfur Fuel Oil</w:t>
            </w:r>
          </w:p>
        </w:tc>
      </w:tr>
      <w:tr w:rsidR="00E96B29" w:rsidRPr="00D3456A" w:rsidTr="006F5308">
        <w:trPr>
          <w:trHeight w:val="293"/>
          <w:jc w:val="center"/>
        </w:trPr>
        <w:tc>
          <w:tcPr>
            <w:tcW w:w="1586" w:type="pct"/>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Contract Size</w:t>
            </w:r>
          </w:p>
        </w:tc>
        <w:tc>
          <w:tcPr>
            <w:tcW w:w="3414" w:type="pct"/>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10 metric tons/lot</w:t>
            </w:r>
          </w:p>
        </w:tc>
      </w:tr>
      <w:tr w:rsidR="00E96B29" w:rsidRPr="00D3456A" w:rsidTr="006F5308">
        <w:trPr>
          <w:trHeight w:val="436"/>
          <w:jc w:val="center"/>
        </w:trPr>
        <w:tc>
          <w:tcPr>
            <w:tcW w:w="1586" w:type="pct"/>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Price Quotation</w:t>
            </w:r>
          </w:p>
        </w:tc>
        <w:tc>
          <w:tcPr>
            <w:tcW w:w="3414" w:type="pct"/>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(RMB) Yuan/metric ton (no tax or duty included in the quotation)</w:t>
            </w:r>
          </w:p>
        </w:tc>
      </w:tr>
      <w:tr w:rsidR="00E96B29" w:rsidRPr="00D3456A" w:rsidTr="006F5308">
        <w:trPr>
          <w:trHeight w:val="565"/>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Minimum Price Fluctuation</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Pr>
                <w:rFonts w:ascii="Times New Roman" w:hAnsi="Times New Roman"/>
                <w:sz w:val="22"/>
              </w:rPr>
              <w:t>1 Yuan/metric</w:t>
            </w:r>
            <w:r>
              <w:rPr>
                <w:rFonts w:ascii="Times New Roman" w:hAnsi="Times New Roman" w:hint="eastAsia"/>
                <w:sz w:val="22"/>
              </w:rPr>
              <w:t xml:space="preserve"> </w:t>
            </w:r>
            <w:r w:rsidRPr="00D3456A">
              <w:rPr>
                <w:rFonts w:ascii="Times New Roman" w:hAnsi="Times New Roman"/>
                <w:sz w:val="22"/>
              </w:rPr>
              <w:t>ton</w:t>
            </w:r>
          </w:p>
        </w:tc>
      </w:tr>
      <w:tr w:rsidR="00E96B29" w:rsidRPr="00D3456A" w:rsidTr="006F5308">
        <w:trPr>
          <w:trHeight w:val="544"/>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Daily Price Limits</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bookmarkStart w:id="0" w:name="_Hlk523156608"/>
            <w:r w:rsidRPr="00D3456A">
              <w:rPr>
                <w:rFonts w:ascii="Times New Roman" w:hAnsi="Times New Roman"/>
                <w:sz w:val="22"/>
              </w:rPr>
              <w:t>±</w:t>
            </w:r>
            <w:bookmarkEnd w:id="0"/>
            <w:r w:rsidRPr="00D3456A">
              <w:rPr>
                <w:rFonts w:ascii="Times New Roman" w:hAnsi="Times New Roman"/>
                <w:sz w:val="22"/>
              </w:rPr>
              <w:t>5% from the settlement price of the previous trading day</w:t>
            </w:r>
          </w:p>
        </w:tc>
      </w:tr>
      <w:tr w:rsidR="00E96B29" w:rsidRPr="00D3456A" w:rsidTr="006F5308">
        <w:trPr>
          <w:trHeight w:val="566"/>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Months</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January, February, March, April, May, June, July, August, September, October, November, and December</w:t>
            </w:r>
          </w:p>
        </w:tc>
      </w:tr>
      <w:tr w:rsidR="00E96B29" w:rsidRPr="00D3456A" w:rsidTr="006F5308">
        <w:trPr>
          <w:trHeight w:val="560"/>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Trading Hours</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9:00</w:t>
            </w:r>
            <w:r w:rsidRPr="003505E0">
              <w:rPr>
                <w:rFonts w:ascii="Times New Roman" w:hAnsi="Times New Roman"/>
                <w:sz w:val="22"/>
              </w:rPr>
              <w:t>～</w:t>
            </w:r>
            <w:r w:rsidRPr="00D3456A">
              <w:rPr>
                <w:rFonts w:ascii="Times New Roman" w:hAnsi="Times New Roman"/>
                <w:sz w:val="22"/>
              </w:rPr>
              <w:t>11:</w:t>
            </w:r>
            <w:smartTag w:uri="urn:schemas-microsoft-com:office:smarttags" w:element="chmetcnv">
              <w:smartTagPr>
                <w:attr w:name="UnitName" w:val="a"/>
                <w:attr w:name="SourceValue" w:val="30"/>
                <w:attr w:name="HasSpace" w:val="True"/>
                <w:attr w:name="Negative" w:val="False"/>
                <w:attr w:name="NumberType" w:val="1"/>
                <w:attr w:name="TCSC" w:val="0"/>
              </w:smartTagPr>
              <w:r w:rsidRPr="00D3456A">
                <w:rPr>
                  <w:rFonts w:ascii="Times New Roman" w:hAnsi="Times New Roman"/>
                  <w:sz w:val="22"/>
                </w:rPr>
                <w:t>30 a</w:t>
              </w:r>
            </w:smartTag>
            <w:r w:rsidRPr="00D3456A">
              <w:rPr>
                <w:rFonts w:ascii="Times New Roman" w:hAnsi="Times New Roman"/>
                <w:sz w:val="22"/>
              </w:rPr>
              <w:t>.m., 1:30</w:t>
            </w:r>
            <w:r w:rsidRPr="003505E0">
              <w:rPr>
                <w:rFonts w:ascii="Times New Roman" w:hAnsi="Times New Roman"/>
                <w:sz w:val="22"/>
              </w:rPr>
              <w:t>～</w:t>
            </w:r>
            <w:r w:rsidRPr="00D3456A">
              <w:rPr>
                <w:rFonts w:ascii="Times New Roman" w:hAnsi="Times New Roman"/>
                <w:sz w:val="22"/>
              </w:rPr>
              <w:t>3:00 p.m. (Beijing Time), and other trading hours as prescribed by the Exchange</w:t>
            </w:r>
          </w:p>
        </w:tc>
      </w:tr>
      <w:tr w:rsidR="00E96B29" w:rsidRPr="00D3456A" w:rsidTr="006F5308">
        <w:trPr>
          <w:trHeight w:val="554"/>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Last Trading Day</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The last trading day of the month prior to the delivery month (postponed accordingly if it is a national holiday or weekend; the Shanghai International Energy Exchange is entitled to adjust the last trading day in accordance with the national holidays or weekends.)</w:t>
            </w:r>
          </w:p>
        </w:tc>
      </w:tr>
      <w:tr w:rsidR="00E96B29" w:rsidRPr="00D3456A" w:rsidTr="006F5308">
        <w:trPr>
          <w:trHeight w:val="470"/>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Period</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Five (5) consecutive trading days after the last trading day</w:t>
            </w:r>
          </w:p>
        </w:tc>
      </w:tr>
      <w:tr w:rsidR="00E96B29" w:rsidRPr="00D3456A" w:rsidTr="006F5308">
        <w:trPr>
          <w:trHeight w:val="641"/>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Grades and Quality Specifications</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Low</w:t>
            </w:r>
            <w:r>
              <w:rPr>
                <w:rFonts w:ascii="Times New Roman" w:hAnsi="Times New Roman" w:hint="eastAsia"/>
                <w:sz w:val="22"/>
              </w:rPr>
              <w:t xml:space="preserve"> </w:t>
            </w:r>
            <w:r w:rsidRPr="00D3456A">
              <w:rPr>
                <w:rFonts w:ascii="Times New Roman" w:hAnsi="Times New Roman"/>
                <w:sz w:val="22"/>
              </w:rPr>
              <w:t>sulfur marine fuel oil, refer to Appendix for detailed quality standards</w:t>
            </w:r>
          </w:p>
        </w:tc>
      </w:tr>
      <w:tr w:rsidR="00E96B29" w:rsidRPr="00D3456A" w:rsidTr="006F5308">
        <w:trPr>
          <w:trHeight w:val="629"/>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Venues</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Delivery Storage Facilities designated by the Shanghai International Energy Exchange</w:t>
            </w:r>
          </w:p>
        </w:tc>
      </w:tr>
      <w:tr w:rsidR="00E96B29" w:rsidRPr="00D3456A" w:rsidTr="006F5308">
        <w:trPr>
          <w:trHeight w:val="552"/>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Minimum Trading Margin</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8% of contract value</w:t>
            </w:r>
          </w:p>
        </w:tc>
      </w:tr>
      <w:tr w:rsidR="00E96B29" w:rsidRPr="00D3456A" w:rsidTr="006F5308">
        <w:trPr>
          <w:trHeight w:val="560"/>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Settlement Type</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Physical delivery</w:t>
            </w:r>
          </w:p>
        </w:tc>
      </w:tr>
      <w:tr w:rsidR="00E96B29" w:rsidRPr="00D3456A" w:rsidTr="006F5308">
        <w:trPr>
          <w:trHeight w:val="554"/>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Product Symbol</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LU</w:t>
            </w:r>
          </w:p>
        </w:tc>
      </w:tr>
      <w:tr w:rsidR="00E96B29" w:rsidRPr="00D3456A" w:rsidTr="006F5308">
        <w:trPr>
          <w:trHeight w:val="548"/>
          <w:jc w:val="center"/>
        </w:trPr>
        <w:tc>
          <w:tcPr>
            <w:tcW w:w="1586"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Listing Exchange</w:t>
            </w:r>
          </w:p>
        </w:tc>
        <w:tc>
          <w:tcPr>
            <w:tcW w:w="3414" w:type="pct"/>
            <w:tcBorders>
              <w:top w:val="single" w:sz="4" w:space="0" w:color="auto"/>
              <w:left w:val="single" w:sz="4" w:space="0" w:color="auto"/>
              <w:bottom w:val="single" w:sz="4" w:space="0" w:color="auto"/>
              <w:right w:val="single" w:sz="4" w:space="0" w:color="auto"/>
            </w:tcBorders>
            <w:vAlign w:val="center"/>
          </w:tcPr>
          <w:p w:rsidR="00E96B29" w:rsidRPr="00D3456A" w:rsidRDefault="00E96B29" w:rsidP="006F5308">
            <w:pPr>
              <w:snapToGrid w:val="0"/>
              <w:spacing w:beforeLines="30" w:afterLines="30" w:line="276" w:lineRule="auto"/>
              <w:jc w:val="left"/>
              <w:rPr>
                <w:rFonts w:ascii="Times New Roman" w:hAnsi="Times New Roman"/>
                <w:sz w:val="22"/>
              </w:rPr>
            </w:pPr>
            <w:r w:rsidRPr="00D3456A">
              <w:rPr>
                <w:rFonts w:ascii="Times New Roman" w:hAnsi="Times New Roman"/>
                <w:sz w:val="22"/>
              </w:rPr>
              <w:t>Shanghai International Energy Exchange</w:t>
            </w:r>
          </w:p>
        </w:tc>
      </w:tr>
    </w:tbl>
    <w:p w:rsidR="00E96B29" w:rsidRPr="00767839" w:rsidRDefault="00E96B29" w:rsidP="00E96B29">
      <w:pPr>
        <w:snapToGrid w:val="0"/>
        <w:spacing w:afterLines="100" w:line="276" w:lineRule="auto"/>
        <w:jc w:val="center"/>
        <w:rPr>
          <w:rFonts w:ascii="Times New Roman" w:hAnsi="Times New Roman"/>
          <w:b/>
          <w:sz w:val="28"/>
          <w:szCs w:val="28"/>
        </w:rPr>
      </w:pPr>
      <w:r w:rsidRPr="00767839">
        <w:rPr>
          <w:rFonts w:ascii="Times New Roman" w:hAnsi="Times New Roman"/>
          <w:sz w:val="28"/>
          <w:szCs w:val="28"/>
        </w:rPr>
        <w:br w:type="page"/>
      </w:r>
      <w:r w:rsidRPr="00767839">
        <w:rPr>
          <w:rFonts w:ascii="Times New Roman" w:hAnsi="Times New Roman"/>
          <w:b/>
          <w:sz w:val="28"/>
          <w:szCs w:val="28"/>
        </w:rPr>
        <w:lastRenderedPageBreak/>
        <w:t xml:space="preserve">Appendix to </w:t>
      </w:r>
      <w:r w:rsidRPr="0077691F">
        <w:rPr>
          <w:rFonts w:ascii="Times New Roman" w:hAnsi="Times New Roman"/>
          <w:b/>
          <w:i/>
          <w:sz w:val="28"/>
          <w:szCs w:val="28"/>
        </w:rPr>
        <w:t>Low</w:t>
      </w:r>
      <w:r w:rsidRPr="0077691F">
        <w:rPr>
          <w:rFonts w:ascii="Times New Roman" w:hAnsi="Times New Roman" w:hint="eastAsia"/>
          <w:b/>
          <w:i/>
          <w:sz w:val="28"/>
          <w:szCs w:val="28"/>
        </w:rPr>
        <w:t xml:space="preserve"> </w:t>
      </w:r>
      <w:r w:rsidRPr="0077691F">
        <w:rPr>
          <w:rFonts w:ascii="Times New Roman" w:hAnsi="Times New Roman"/>
          <w:b/>
          <w:i/>
          <w:sz w:val="28"/>
          <w:szCs w:val="28"/>
        </w:rPr>
        <w:t>Sulfur Fuel Oil Futures Contract of the Shanghai International Energy Exchange</w:t>
      </w:r>
    </w:p>
    <w:p w:rsidR="00E96B29" w:rsidRPr="00031407" w:rsidRDefault="00E96B29" w:rsidP="00E96B29">
      <w:pPr>
        <w:snapToGrid w:val="0"/>
        <w:spacing w:afterLines="100" w:line="276" w:lineRule="auto"/>
        <w:jc w:val="left"/>
        <w:rPr>
          <w:rFonts w:ascii="Times New Roman" w:hAnsi="Times New Roman"/>
          <w:b/>
          <w:sz w:val="22"/>
        </w:rPr>
      </w:pPr>
      <w:r w:rsidRPr="00031407">
        <w:rPr>
          <w:rFonts w:ascii="Times New Roman" w:hAnsi="Times New Roman"/>
          <w:b/>
          <w:sz w:val="22"/>
        </w:rPr>
        <w:t>I.</w:t>
      </w:r>
      <w:r w:rsidRPr="00031407">
        <w:rPr>
          <w:rFonts w:ascii="Times New Roman" w:hAnsi="Times New Roman"/>
          <w:b/>
          <w:sz w:val="22"/>
        </w:rPr>
        <w:tab/>
        <w:t>Delivery Unit</w:t>
      </w:r>
    </w:p>
    <w:p w:rsidR="00E96B29" w:rsidRPr="00031407" w:rsidRDefault="00E96B29" w:rsidP="00E96B29">
      <w:pPr>
        <w:snapToGrid w:val="0"/>
        <w:spacing w:afterLines="100" w:line="276" w:lineRule="auto"/>
        <w:jc w:val="left"/>
        <w:rPr>
          <w:rFonts w:ascii="Times New Roman" w:hAnsi="Times New Roman"/>
          <w:sz w:val="22"/>
        </w:rPr>
      </w:pPr>
      <w:r w:rsidRPr="00031407">
        <w:rPr>
          <w:rFonts w:ascii="Times New Roman" w:hAnsi="Times New Roman"/>
          <w:sz w:val="22"/>
        </w:rPr>
        <w:t>The delivery unit of low</w:t>
      </w:r>
      <w:r>
        <w:rPr>
          <w:rFonts w:ascii="Times New Roman" w:hAnsi="Times New Roman" w:hint="eastAsia"/>
          <w:sz w:val="22"/>
        </w:rPr>
        <w:t xml:space="preserve"> </w:t>
      </w:r>
      <w:r w:rsidRPr="00031407">
        <w:rPr>
          <w:rFonts w:ascii="Times New Roman" w:hAnsi="Times New Roman"/>
          <w:sz w:val="22"/>
        </w:rPr>
        <w:t>sulfur fuel oil futures contract is 10 metric tons. The delivery quantity shall be integral multiple(s) of the delivery unit.</w:t>
      </w:r>
    </w:p>
    <w:p w:rsidR="00E96B29" w:rsidRPr="00031407" w:rsidRDefault="00E96B29" w:rsidP="00E96B29">
      <w:pPr>
        <w:snapToGrid w:val="0"/>
        <w:spacing w:afterLines="100" w:line="276" w:lineRule="auto"/>
        <w:jc w:val="left"/>
        <w:rPr>
          <w:rFonts w:ascii="Times New Roman" w:hAnsi="Times New Roman"/>
          <w:b/>
          <w:sz w:val="22"/>
        </w:rPr>
      </w:pPr>
      <w:r w:rsidRPr="00031407">
        <w:rPr>
          <w:rFonts w:ascii="Times New Roman" w:hAnsi="Times New Roman"/>
          <w:b/>
          <w:sz w:val="22"/>
        </w:rPr>
        <w:t>II.</w:t>
      </w:r>
      <w:r w:rsidRPr="00031407">
        <w:rPr>
          <w:rFonts w:ascii="Times New Roman" w:hAnsi="Times New Roman"/>
          <w:b/>
          <w:sz w:val="22"/>
        </w:rPr>
        <w:tab/>
        <w:t>Quality Standards</w:t>
      </w:r>
    </w:p>
    <w:p w:rsidR="00E96B29" w:rsidRPr="00031407" w:rsidRDefault="00E96B29" w:rsidP="00E96B29">
      <w:pPr>
        <w:snapToGrid w:val="0"/>
        <w:spacing w:after="100" w:line="276" w:lineRule="auto"/>
        <w:jc w:val="left"/>
        <w:rPr>
          <w:rFonts w:ascii="Times New Roman" w:hAnsi="Times New Roman"/>
          <w:sz w:val="22"/>
        </w:rPr>
      </w:pPr>
      <w:r w:rsidRPr="00031407">
        <w:rPr>
          <w:rFonts w:ascii="Times New Roman" w:hAnsi="Times New Roman"/>
          <w:sz w:val="22"/>
        </w:rPr>
        <w:t>Low</w:t>
      </w:r>
      <w:r>
        <w:rPr>
          <w:rFonts w:ascii="Times New Roman" w:hAnsi="Times New Roman" w:hint="eastAsia"/>
          <w:sz w:val="22"/>
        </w:rPr>
        <w:t xml:space="preserve"> </w:t>
      </w:r>
      <w:r w:rsidRPr="00031407">
        <w:rPr>
          <w:rFonts w:ascii="Times New Roman" w:hAnsi="Times New Roman"/>
          <w:sz w:val="22"/>
        </w:rPr>
        <w:t>sulfur marine fuel oil to be delivered shall meet the quality standards for low</w:t>
      </w:r>
      <w:r>
        <w:rPr>
          <w:rFonts w:ascii="Times New Roman" w:hAnsi="Times New Roman" w:hint="eastAsia"/>
          <w:sz w:val="22"/>
        </w:rPr>
        <w:t xml:space="preserve"> </w:t>
      </w:r>
      <w:r w:rsidRPr="00031407">
        <w:rPr>
          <w:rFonts w:ascii="Times New Roman" w:hAnsi="Times New Roman"/>
          <w:sz w:val="22"/>
        </w:rPr>
        <w:t>sulfur marine fuel oil set by the Shanghai International Energy Exchange (the “Exchange”). “Low</w:t>
      </w:r>
      <w:r>
        <w:rPr>
          <w:rFonts w:ascii="Times New Roman" w:hAnsi="Times New Roman" w:hint="eastAsia"/>
          <w:sz w:val="22"/>
        </w:rPr>
        <w:t xml:space="preserve"> </w:t>
      </w:r>
      <w:r w:rsidRPr="00031407">
        <w:rPr>
          <w:rFonts w:ascii="Times New Roman" w:hAnsi="Times New Roman"/>
          <w:sz w:val="22"/>
        </w:rPr>
        <w:t>sulfur marine fuel oil” refers to homogeneous hydrocarbon mixtures extracted from petroleum, with certain amount of additives permitted for performance and characteristics gains. Low</w:t>
      </w:r>
      <w:r>
        <w:rPr>
          <w:rFonts w:ascii="Times New Roman" w:hAnsi="Times New Roman" w:hint="eastAsia"/>
          <w:sz w:val="22"/>
        </w:rPr>
        <w:t xml:space="preserve"> </w:t>
      </w:r>
      <w:r w:rsidRPr="00031407">
        <w:rPr>
          <w:rFonts w:ascii="Times New Roman" w:hAnsi="Times New Roman"/>
          <w:sz w:val="22"/>
        </w:rPr>
        <w:t>sulfur marine fuel oil shall not contain any inorganic acid and used lubricating oil, nor any substance that may cause abnormal operations of ships, nor any artificially added additive or chemical waste that may endanger ship safety, adversely affect machine’s performance, or be harmful or increase air pollutions.</w:t>
      </w:r>
    </w:p>
    <w:p w:rsidR="00E96B29" w:rsidRPr="00031407" w:rsidRDefault="00E96B29" w:rsidP="00E96B29">
      <w:pPr>
        <w:snapToGrid w:val="0"/>
        <w:spacing w:after="100" w:line="276" w:lineRule="auto"/>
        <w:jc w:val="left"/>
        <w:rPr>
          <w:rFonts w:ascii="Times New Roman" w:hAnsi="Times New Roman"/>
          <w:sz w:val="22"/>
        </w:rPr>
      </w:pPr>
      <w:r w:rsidRPr="00031407">
        <w:rPr>
          <w:rFonts w:ascii="Times New Roman" w:hAnsi="Times New Roman"/>
          <w:sz w:val="22"/>
        </w:rPr>
        <w:t>Specific rates of premium and discount will be separately prescribed and announced by the Exchange.</w:t>
      </w:r>
    </w:p>
    <w:p w:rsidR="00E96B29" w:rsidRPr="00031407" w:rsidRDefault="00E96B29" w:rsidP="00E96B29">
      <w:pPr>
        <w:snapToGrid w:val="0"/>
        <w:spacing w:after="100" w:line="276" w:lineRule="auto"/>
        <w:jc w:val="left"/>
        <w:rPr>
          <w:rFonts w:ascii="Times New Roman" w:hAnsi="Times New Roman"/>
          <w:sz w:val="22"/>
        </w:rPr>
      </w:pPr>
    </w:p>
    <w:p w:rsidR="00E96B29" w:rsidRPr="00031407" w:rsidRDefault="00E96B29" w:rsidP="00E96B29">
      <w:pPr>
        <w:snapToGrid w:val="0"/>
        <w:spacing w:afterLines="100" w:line="276" w:lineRule="auto"/>
        <w:jc w:val="center"/>
        <w:rPr>
          <w:rFonts w:ascii="Times New Roman" w:hAnsi="Times New Roman"/>
          <w:b/>
          <w:sz w:val="24"/>
        </w:rPr>
      </w:pPr>
      <w:r w:rsidRPr="00031407">
        <w:rPr>
          <w:rFonts w:ascii="Times New Roman" w:hAnsi="Times New Roman"/>
          <w:b/>
          <w:sz w:val="24"/>
        </w:rPr>
        <w:t>Quality Standards of Low</w:t>
      </w:r>
      <w:r>
        <w:rPr>
          <w:rFonts w:ascii="Times New Roman" w:hAnsi="Times New Roman" w:hint="eastAsia"/>
          <w:b/>
          <w:sz w:val="24"/>
        </w:rPr>
        <w:t xml:space="preserve"> </w:t>
      </w:r>
      <w:r w:rsidRPr="00031407">
        <w:rPr>
          <w:rFonts w:ascii="Times New Roman" w:hAnsi="Times New Roman"/>
          <w:b/>
          <w:sz w:val="24"/>
        </w:rPr>
        <w:t xml:space="preserve">Sulfur Fuel Oil of the </w:t>
      </w:r>
      <w:smartTag w:uri="urn:schemas-microsoft-com:office:smarttags" w:element="place">
        <w:smartTag w:uri="urn:schemas-microsoft-com:office:smarttags" w:element="City">
          <w:r w:rsidRPr="00031407">
            <w:rPr>
              <w:rFonts w:ascii="Times New Roman" w:hAnsi="Times New Roman"/>
              <w:b/>
              <w:sz w:val="24"/>
            </w:rPr>
            <w:t>Shanghai</w:t>
          </w:r>
        </w:smartTag>
      </w:smartTag>
      <w:r w:rsidRPr="00031407">
        <w:rPr>
          <w:rFonts w:ascii="Times New Roman" w:hAnsi="Times New Roman"/>
          <w:b/>
          <w:sz w:val="24"/>
        </w:rPr>
        <w:t xml:space="preserve"> International Energy Exchange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9"/>
        <w:gridCol w:w="2838"/>
        <w:gridCol w:w="2729"/>
      </w:tblGrid>
      <w:tr w:rsidR="00E96B29" w:rsidRPr="00D3456A" w:rsidTr="006F5308">
        <w:tc>
          <w:tcPr>
            <w:tcW w:w="2729" w:type="dxa"/>
            <w:shd w:val="clear" w:color="auto" w:fill="auto"/>
            <w:vAlign w:val="center"/>
          </w:tcPr>
          <w:p w:rsidR="00E96B29" w:rsidRPr="00D3456A" w:rsidRDefault="00E96B29" w:rsidP="006F5308">
            <w:pPr>
              <w:snapToGrid w:val="0"/>
              <w:spacing w:before="60" w:after="60"/>
              <w:jc w:val="center"/>
              <w:rPr>
                <w:rFonts w:ascii="Times New Roman" w:hAnsi="Times New Roman"/>
                <w:sz w:val="20"/>
                <w:szCs w:val="20"/>
              </w:rPr>
            </w:pPr>
            <w:r w:rsidRPr="00D3456A">
              <w:rPr>
                <w:rFonts w:ascii="Times New Roman" w:hAnsi="Times New Roman"/>
                <w:b/>
                <w:sz w:val="20"/>
                <w:szCs w:val="20"/>
              </w:rPr>
              <w:t>Properties</w:t>
            </w:r>
          </w:p>
        </w:tc>
        <w:tc>
          <w:tcPr>
            <w:tcW w:w="2838" w:type="dxa"/>
            <w:shd w:val="clear" w:color="auto" w:fill="auto"/>
            <w:vAlign w:val="center"/>
          </w:tcPr>
          <w:p w:rsidR="00E96B29" w:rsidRPr="00D3456A" w:rsidRDefault="00E96B29" w:rsidP="006F5308">
            <w:pPr>
              <w:snapToGrid w:val="0"/>
              <w:spacing w:before="60" w:after="60"/>
              <w:jc w:val="center"/>
              <w:rPr>
                <w:rFonts w:ascii="Times New Roman" w:hAnsi="Times New Roman"/>
                <w:b/>
                <w:bCs/>
                <w:sz w:val="20"/>
                <w:szCs w:val="20"/>
              </w:rPr>
            </w:pPr>
            <w:r w:rsidRPr="00D3456A">
              <w:rPr>
                <w:rFonts w:ascii="Times New Roman" w:hAnsi="Times New Roman"/>
                <w:b/>
                <w:bCs/>
                <w:sz w:val="20"/>
                <w:szCs w:val="20"/>
              </w:rPr>
              <w:t>Limit</w:t>
            </w:r>
          </w:p>
        </w:tc>
        <w:tc>
          <w:tcPr>
            <w:tcW w:w="2729" w:type="dxa"/>
            <w:shd w:val="clear" w:color="auto" w:fill="auto"/>
            <w:vAlign w:val="center"/>
          </w:tcPr>
          <w:p w:rsidR="00E96B29" w:rsidRPr="00D3456A" w:rsidRDefault="00E96B29" w:rsidP="006F5308">
            <w:pPr>
              <w:snapToGrid w:val="0"/>
              <w:spacing w:before="60" w:after="60"/>
              <w:jc w:val="center"/>
              <w:rPr>
                <w:rFonts w:ascii="Times New Roman" w:hAnsi="Times New Roman"/>
                <w:b/>
                <w:bCs/>
                <w:sz w:val="20"/>
                <w:szCs w:val="20"/>
              </w:rPr>
            </w:pPr>
            <w:r w:rsidRPr="00D3456A">
              <w:rPr>
                <w:rFonts w:ascii="Times New Roman" w:hAnsi="Times New Roman"/>
                <w:b/>
                <w:bCs/>
                <w:sz w:val="20"/>
                <w:szCs w:val="20"/>
              </w:rPr>
              <w:t>Test Method</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Kinematic viscosity (</w:t>
            </w:r>
            <w:smartTag w:uri="urn:schemas-microsoft-com:office:smarttags" w:element="chmetcnv">
              <w:smartTagPr>
                <w:attr w:name="UnitName" w:val="ﾰC"/>
                <w:attr w:name="SourceValue" w:val="50"/>
                <w:attr w:name="HasSpace" w:val="True"/>
                <w:attr w:name="Negative" w:val="False"/>
                <w:attr w:name="NumberType" w:val="1"/>
                <w:attr w:name="TCSC" w:val="0"/>
              </w:smartTagPr>
              <w:r w:rsidRPr="00D3456A">
                <w:rPr>
                  <w:rFonts w:ascii="Times New Roman" w:hAnsi="Times New Roman"/>
                  <w:sz w:val="20"/>
                  <w:szCs w:val="20"/>
                </w:rPr>
                <w:t>50 °C</w:t>
              </w:r>
            </w:smartTag>
            <w:r w:rsidRPr="00D3456A">
              <w:rPr>
                <w:rFonts w:ascii="Times New Roman" w:hAnsi="Times New Roman"/>
                <w:sz w:val="20"/>
                <w:szCs w:val="20"/>
              </w:rPr>
              <w:t>, mm</w:t>
            </w:r>
            <w:r w:rsidRPr="00D3456A">
              <w:rPr>
                <w:rFonts w:ascii="Times New Roman" w:hAnsi="Times New Roman"/>
                <w:sz w:val="20"/>
                <w:szCs w:val="20"/>
                <w:vertAlign w:val="superscript"/>
              </w:rPr>
              <w:t>2</w:t>
            </w:r>
            <w:r w:rsidRPr="00D3456A">
              <w:rPr>
                <w:rFonts w:ascii="Times New Roman" w:hAnsi="Times New Roman"/>
                <w:sz w:val="20"/>
                <w:szCs w:val="20"/>
              </w:rPr>
              <w:t>/s)</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380.0 max</w:t>
            </w:r>
          </w:p>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100.00 min</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D445</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Density (</w:t>
            </w:r>
            <w:smartTag w:uri="urn:schemas-microsoft-com:office:smarttags" w:element="chmetcnv">
              <w:smartTagPr>
                <w:attr w:name="UnitName" w:val="ﾰC"/>
                <w:attr w:name="SourceValue" w:val="15"/>
                <w:attr w:name="HasSpace" w:val="True"/>
                <w:attr w:name="Negative" w:val="False"/>
                <w:attr w:name="NumberType" w:val="1"/>
                <w:attr w:name="TCSC" w:val="0"/>
              </w:smartTagPr>
              <w:r w:rsidRPr="00D3456A">
                <w:rPr>
                  <w:rFonts w:ascii="Times New Roman" w:hAnsi="Times New Roman"/>
                  <w:sz w:val="20"/>
                  <w:szCs w:val="20"/>
                </w:rPr>
                <w:t>15 °C</w:t>
              </w:r>
            </w:smartTag>
            <w:r w:rsidRPr="00D3456A">
              <w:rPr>
                <w:rFonts w:ascii="Times New Roman" w:hAnsi="Times New Roman"/>
                <w:sz w:val="20"/>
                <w:szCs w:val="20"/>
              </w:rPr>
              <w:t>, kg/m</w:t>
            </w:r>
            <w:r w:rsidRPr="00D3456A">
              <w:rPr>
                <w:rFonts w:ascii="Times New Roman" w:hAnsi="Times New Roman"/>
                <w:sz w:val="20"/>
                <w:szCs w:val="20"/>
                <w:vertAlign w:val="superscript"/>
              </w:rPr>
              <w:t>3</w:t>
            </w:r>
            <w:r w:rsidRPr="00D3456A">
              <w:rPr>
                <w:rFonts w:ascii="Times New Roman" w:hAnsi="Times New Roman"/>
                <w:sz w:val="20"/>
                <w:szCs w:val="20"/>
              </w:rPr>
              <w:t>)</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991.0 max</w:t>
            </w:r>
          </w:p>
          <w:p w:rsidR="00E96B29" w:rsidRPr="00D3456A" w:rsidRDefault="00E96B29" w:rsidP="006F5308">
            <w:pPr>
              <w:snapToGrid w:val="0"/>
              <w:spacing w:before="60" w:after="60"/>
              <w:jc w:val="left"/>
              <w:rPr>
                <w:rFonts w:ascii="Times New Roman" w:hAnsi="Times New Roman"/>
                <w:bCs/>
                <w:sz w:val="20"/>
                <w:szCs w:val="20"/>
              </w:rPr>
            </w:pPr>
            <w:r>
              <w:rPr>
                <w:rFonts w:ascii="Times New Roman" w:hAnsi="Times New Roman"/>
                <w:bCs/>
                <w:sz w:val="20"/>
                <w:szCs w:val="20"/>
              </w:rPr>
              <w:t>925</w:t>
            </w:r>
            <w:r w:rsidRPr="00D3456A">
              <w:rPr>
                <w:rFonts w:ascii="Times New Roman" w:hAnsi="Times New Roman"/>
                <w:bCs/>
                <w:sz w:val="20"/>
                <w:szCs w:val="20"/>
              </w:rPr>
              <w:t>.0 min</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D1298</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 xml:space="preserve">Calculated Carbon </w:t>
            </w:r>
            <w:proofErr w:type="spellStart"/>
            <w:r w:rsidRPr="00D3456A">
              <w:rPr>
                <w:rFonts w:ascii="Times New Roman" w:hAnsi="Times New Roman"/>
                <w:sz w:val="20"/>
                <w:szCs w:val="20"/>
              </w:rPr>
              <w:t>Aromaticity</w:t>
            </w:r>
            <w:proofErr w:type="spellEnd"/>
            <w:r w:rsidRPr="00D3456A">
              <w:rPr>
                <w:rFonts w:ascii="Times New Roman" w:hAnsi="Times New Roman"/>
                <w:sz w:val="20"/>
                <w:szCs w:val="20"/>
              </w:rPr>
              <w:t xml:space="preserve"> Index (CCAI)</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870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ISO 8217:2017(E)</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Sulfur content (m/m, %)</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0.50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D4294</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Flash point (closed cup) (°C)</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60.0 min</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D93</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Hydrogen sulfide (mg/kg)</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2.00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IP 570</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Acid value (mg KOH/g)</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2.5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D664</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Total sediment (thermal aging test) (m/m, %)</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0.10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D4870</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Carbon residue (m/m, %)</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18.00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D4530</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Pour point (°C)</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30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D97</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Moisture (V/V, %)</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0.50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D95</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Ash content (m/m, %)</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0.100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D482</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Vanadium (mg/kg)</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350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lastRenderedPageBreak/>
              <w:t>Sodium (mg/kg)</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100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Aluminum + Silicon (mg/kg)</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60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E96B29" w:rsidRPr="00D3456A" w:rsidTr="006F5308">
        <w:tc>
          <w:tcPr>
            <w:tcW w:w="2729" w:type="dxa"/>
            <w:shd w:val="clear" w:color="auto" w:fill="auto"/>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Net calorific value (cal/g)</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9,500 min</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D240</w:t>
            </w:r>
          </w:p>
        </w:tc>
      </w:tr>
      <w:tr w:rsidR="00E96B29" w:rsidRPr="00D3456A" w:rsidTr="006F5308">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Used lubricating oil (ULO) (mg/kg)</w:t>
            </w:r>
          </w:p>
          <w:p w:rsidR="00E96B29" w:rsidRPr="00D3456A" w:rsidRDefault="00E96B29" w:rsidP="006F5308">
            <w:pPr>
              <w:snapToGrid w:val="0"/>
              <w:spacing w:before="60" w:after="60"/>
              <w:jc w:val="left"/>
              <w:rPr>
                <w:rFonts w:ascii="Times New Roman" w:hAnsi="Times New Roman"/>
                <w:sz w:val="20"/>
                <w:szCs w:val="20"/>
              </w:rPr>
            </w:pPr>
            <w:r w:rsidRPr="00D3456A">
              <w:rPr>
                <w:rFonts w:ascii="Times New Roman" w:hAnsi="Times New Roman"/>
                <w:sz w:val="20"/>
                <w:szCs w:val="20"/>
              </w:rPr>
              <w:t>Calcium</w:t>
            </w:r>
            <w:r w:rsidRPr="00D3456A">
              <w:rPr>
                <w:rFonts w:ascii="Times New Roman" w:hAnsi="Times New Roman"/>
                <w:bCs/>
                <w:sz w:val="20"/>
                <w:szCs w:val="20"/>
              </w:rPr>
              <w:t xml:space="preserve"> </w:t>
            </w:r>
            <w:r w:rsidRPr="00D3456A">
              <w:rPr>
                <w:rFonts w:ascii="Times New Roman" w:hAnsi="Times New Roman"/>
                <w:sz w:val="20"/>
                <w:szCs w:val="20"/>
              </w:rPr>
              <w:t>and Zinc</w:t>
            </w:r>
          </w:p>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sz w:val="20"/>
                <w:szCs w:val="20"/>
              </w:rPr>
              <w:t xml:space="preserve">Calcium </w:t>
            </w:r>
            <w:r w:rsidRPr="00D3456A">
              <w:rPr>
                <w:rFonts w:ascii="Times New Roman" w:hAnsi="Times New Roman"/>
                <w:bCs/>
                <w:sz w:val="20"/>
                <w:szCs w:val="20"/>
              </w:rPr>
              <w:t>and phosphorus</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Fuel oil should be free of ULO, which is deemed to be present if any of the following conditions is met:</w:t>
            </w:r>
          </w:p>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Ca &gt; 30 and Zn &gt; 15</w:t>
            </w:r>
            <w:r w:rsidRPr="00D3456A">
              <w:rPr>
                <w:rFonts w:ascii="Times New Roman" w:hAnsi="Times New Roman"/>
                <w:bCs/>
                <w:sz w:val="20"/>
                <w:szCs w:val="20"/>
              </w:rPr>
              <w:br/>
              <w:t>or</w:t>
            </w:r>
            <w:r w:rsidRPr="00D3456A">
              <w:rPr>
                <w:rFonts w:ascii="Times New Roman" w:hAnsi="Times New Roman"/>
                <w:bCs/>
                <w:sz w:val="20"/>
                <w:szCs w:val="20"/>
              </w:rPr>
              <w:br/>
              <w:t>Ca &gt; 30 and P &gt; 15</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IP 501</w:t>
            </w:r>
          </w:p>
        </w:tc>
      </w:tr>
      <w:tr w:rsidR="00E96B29" w:rsidRPr="00D3456A" w:rsidTr="006F5308">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Compatibility (level)</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No higher than spot No. 2</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D4740</w:t>
            </w:r>
          </w:p>
        </w:tc>
      </w:tr>
      <w:tr w:rsidR="00E96B29" w:rsidRPr="00D3456A" w:rsidTr="006F5308">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Cleanness (level)</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No higher than spot No. 2</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ASTM D4740</w:t>
            </w:r>
          </w:p>
        </w:tc>
      </w:tr>
      <w:tr w:rsidR="00E96B29" w:rsidRPr="00D3456A" w:rsidTr="006F5308">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Styrene (mg/kg)</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Pr>
                <w:rFonts w:ascii="Times New Roman" w:hAnsi="Times New Roman"/>
                <w:bCs/>
                <w:sz w:val="20"/>
                <w:szCs w:val="20"/>
              </w:rPr>
              <w:t>300</w:t>
            </w:r>
            <w:r w:rsidRPr="00D3456A">
              <w:rPr>
                <w:rFonts w:ascii="Times New Roman" w:hAnsi="Times New Roman"/>
                <w:bCs/>
                <w:sz w:val="20"/>
                <w:szCs w:val="20"/>
              </w:rPr>
              <w:t xml:space="preserve">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GB/T 6041</w:t>
            </w:r>
          </w:p>
        </w:tc>
      </w:tr>
      <w:tr w:rsidR="00E96B29" w:rsidRPr="00D3456A" w:rsidTr="006F5308">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Phenol (mg/kg)</w:t>
            </w:r>
          </w:p>
        </w:tc>
        <w:tc>
          <w:tcPr>
            <w:tcW w:w="2838"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Pr>
                <w:rFonts w:ascii="Times New Roman" w:hAnsi="Times New Roman"/>
                <w:bCs/>
                <w:sz w:val="20"/>
                <w:szCs w:val="20"/>
              </w:rPr>
              <w:t>300</w:t>
            </w:r>
            <w:r w:rsidRPr="00D3456A">
              <w:rPr>
                <w:rFonts w:ascii="Times New Roman" w:hAnsi="Times New Roman"/>
                <w:bCs/>
                <w:sz w:val="20"/>
                <w:szCs w:val="20"/>
              </w:rPr>
              <w:t xml:space="preserve"> max</w:t>
            </w:r>
          </w:p>
        </w:tc>
        <w:tc>
          <w:tcPr>
            <w:tcW w:w="2729" w:type="dxa"/>
            <w:shd w:val="clear" w:color="auto" w:fill="auto"/>
            <w:vAlign w:val="center"/>
          </w:tcPr>
          <w:p w:rsidR="00E96B29" w:rsidRPr="00D3456A" w:rsidRDefault="00E96B29" w:rsidP="006F5308">
            <w:pPr>
              <w:snapToGrid w:val="0"/>
              <w:spacing w:before="60" w:after="60"/>
              <w:jc w:val="left"/>
              <w:rPr>
                <w:rFonts w:ascii="Times New Roman" w:hAnsi="Times New Roman"/>
                <w:bCs/>
                <w:sz w:val="20"/>
                <w:szCs w:val="20"/>
              </w:rPr>
            </w:pPr>
            <w:r w:rsidRPr="00D3456A">
              <w:rPr>
                <w:rFonts w:ascii="Times New Roman" w:hAnsi="Times New Roman"/>
                <w:bCs/>
                <w:sz w:val="20"/>
                <w:szCs w:val="20"/>
              </w:rPr>
              <w:t>GB/T 6041</w:t>
            </w:r>
          </w:p>
        </w:tc>
      </w:tr>
    </w:tbl>
    <w:p w:rsidR="00E96B29" w:rsidRDefault="00E96B29" w:rsidP="00E96B29">
      <w:pPr>
        <w:snapToGrid w:val="0"/>
        <w:spacing w:afterLines="100" w:line="276" w:lineRule="auto"/>
        <w:jc w:val="left"/>
        <w:rPr>
          <w:rFonts w:ascii="Times New Roman" w:hAnsi="Times New Roman"/>
          <w:b/>
          <w:sz w:val="22"/>
        </w:rPr>
      </w:pPr>
    </w:p>
    <w:p w:rsidR="00E96B29" w:rsidRPr="00031407" w:rsidRDefault="00E96B29" w:rsidP="00E96B29">
      <w:pPr>
        <w:snapToGrid w:val="0"/>
        <w:spacing w:afterLines="100" w:line="276" w:lineRule="auto"/>
        <w:jc w:val="left"/>
        <w:rPr>
          <w:rFonts w:ascii="Times New Roman" w:hAnsi="Times New Roman"/>
          <w:b/>
          <w:sz w:val="22"/>
        </w:rPr>
      </w:pPr>
      <w:r w:rsidRPr="00031407">
        <w:rPr>
          <w:rFonts w:ascii="Times New Roman" w:hAnsi="Times New Roman"/>
          <w:b/>
          <w:sz w:val="22"/>
        </w:rPr>
        <w:t>III.</w:t>
      </w:r>
      <w:r w:rsidRPr="00031407">
        <w:rPr>
          <w:rFonts w:ascii="Times New Roman" w:hAnsi="Times New Roman"/>
          <w:b/>
          <w:sz w:val="22"/>
        </w:rPr>
        <w:tab/>
        <w:t>Designated Delivery Storage Facilities</w:t>
      </w:r>
    </w:p>
    <w:p w:rsidR="00E96B29" w:rsidRPr="009805D5" w:rsidRDefault="00E96B29" w:rsidP="00E96B29">
      <w:pPr>
        <w:snapToGrid w:val="0"/>
      </w:pPr>
      <w:r w:rsidRPr="00031407">
        <w:rPr>
          <w:rFonts w:ascii="Times New Roman" w:hAnsi="Times New Roman"/>
          <w:sz w:val="22"/>
        </w:rPr>
        <w:t>Designated Delivery Storage Facilities will be separately announced by the Exchange.</w:t>
      </w:r>
    </w:p>
    <w:p w:rsidR="00E96B29" w:rsidRPr="00BF1843" w:rsidRDefault="00E96B29" w:rsidP="00E96B29"/>
    <w:p w:rsidR="00E96B29" w:rsidRPr="002235C7" w:rsidRDefault="00E96B29" w:rsidP="00E96B29">
      <w:pPr>
        <w:spacing w:line="360" w:lineRule="auto"/>
        <w:rPr>
          <w:rFonts w:ascii="Times New Roman" w:hAnsi="Times New Roman"/>
          <w:b/>
          <w:bCs/>
          <w:sz w:val="22"/>
        </w:rPr>
      </w:pPr>
    </w:p>
    <w:p w:rsidR="00E96B29" w:rsidRPr="002235C7" w:rsidRDefault="00E96B29" w:rsidP="00E96B29">
      <w:pPr>
        <w:tabs>
          <w:tab w:val="left" w:pos="1276"/>
        </w:tabs>
        <w:snapToGrid w:val="0"/>
        <w:spacing w:afterLines="100" w:line="360" w:lineRule="auto"/>
        <w:rPr>
          <w:rFonts w:ascii="Times New Roman" w:hAnsi="Times New Roman"/>
          <w:sz w:val="24"/>
          <w:szCs w:val="24"/>
        </w:rPr>
      </w:pPr>
    </w:p>
    <w:p w:rsidR="00F8798E" w:rsidRPr="00E96B29" w:rsidRDefault="00F8798E" w:rsidP="00E96B29"/>
    <w:sectPr w:rsidR="00F8798E" w:rsidRPr="00E96B29">
      <w:headerReference w:type="even" r:id="rId4"/>
      <w:headerReference w:type="default" r:id="rId5"/>
      <w:footerReference w:type="even" r:id="rId6"/>
      <w:footerReference w:type="default" r:id="rId7"/>
      <w:headerReference w:type="first" r:id="rId8"/>
      <w:footerReference w:type="first" r:id="rId9"/>
      <w:pgSz w:w="11906" w:h="16838"/>
      <w:pgMar w:top="1440" w:right="1797" w:bottom="1440" w:left="1797"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E96B29">
    <w:pPr>
      <w:spacing w:after="160" w:line="259" w:lineRule="auto"/>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E96B29">
    <w:pPr>
      <w:pStyle w:val="a3"/>
      <w:jc w:val="center"/>
    </w:pPr>
    <w:r>
      <w:fldChar w:fldCharType="begin"/>
    </w:r>
    <w:r>
      <w:instrText>PAGE   \* MERGEFORMAT</w:instrText>
    </w:r>
    <w:r>
      <w:fldChar w:fldCharType="separate"/>
    </w:r>
    <w:r w:rsidRPr="00E96B29">
      <w:rPr>
        <w:noProof/>
        <w:lang w:val="zh-CN"/>
      </w:rPr>
      <w:t>3</w:t>
    </w:r>
    <w:r>
      <w:fldChar w:fldCharType="end"/>
    </w:r>
  </w:p>
  <w:p w:rsidR="00112DC7" w:rsidRDefault="00E96B29">
    <w:pPr>
      <w:spacing w:after="160" w:line="259" w:lineRule="auto"/>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E96B29">
    <w:pPr>
      <w:spacing w:after="160" w:line="259" w:lineRule="auto"/>
      <w:jc w:val="lef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E96B29">
    <w:pPr>
      <w:spacing w:line="259" w:lineRule="auto"/>
      <w:ind w:right="361"/>
      <w:jc w:val="right"/>
    </w:pPr>
    <w:r>
      <w:rPr>
        <w:sz w:val="16"/>
      </w:rPr>
      <w:t xml:space="preserve">*FOR REFERENCE ONLY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E96B29">
    <w:pPr>
      <w:spacing w:line="259" w:lineRule="auto"/>
      <w:ind w:right="841"/>
      <w:jc w:val="right"/>
    </w:pPr>
    <w:r>
      <w:rPr>
        <w:sz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E96B29">
    <w:pPr>
      <w:spacing w:line="259" w:lineRule="auto"/>
      <w:ind w:right="361"/>
      <w:jc w:val="right"/>
    </w:pPr>
    <w:r>
      <w:rPr>
        <w:sz w:val="16"/>
      </w:rPr>
      <w:t xml:space="preserve">*FOR REFERENCE ONLY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2ABA"/>
    <w:rsid w:val="001D2ABA"/>
    <w:rsid w:val="00E96B29"/>
    <w:rsid w:val="00F87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96B29"/>
    <w:pPr>
      <w:tabs>
        <w:tab w:val="center" w:pos="4153"/>
        <w:tab w:val="right" w:pos="8306"/>
      </w:tabs>
      <w:snapToGrid w:val="0"/>
      <w:jc w:val="left"/>
    </w:pPr>
    <w:rPr>
      <w:rFonts w:ascii="Times New Roman" w:hAnsi="Times New Roman"/>
      <w:kern w:val="0"/>
      <w:sz w:val="18"/>
      <w:szCs w:val="18"/>
      <w:lang/>
    </w:rPr>
  </w:style>
  <w:style w:type="character" w:customStyle="1" w:styleId="Char">
    <w:name w:val="页脚 Char"/>
    <w:basedOn w:val="a0"/>
    <w:link w:val="a3"/>
    <w:uiPriority w:val="99"/>
    <w:rsid w:val="00E96B29"/>
    <w:rPr>
      <w:rFonts w:ascii="Times New Roman" w:eastAsia="宋体" w:hAnsi="Times New Roman" w:cs="Times New Roman"/>
      <w:kern w:val="0"/>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3432</Characters>
  <Application>Microsoft Office Word</Application>
  <DocSecurity>0</DocSecurity>
  <Lines>28</Lines>
  <Paragraphs>8</Paragraphs>
  <ScaleCrop>false</ScaleCrop>
  <Company>SHFE</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2025-06-27T08:38:00Z</dcterms:created>
  <dcterms:modified xsi:type="dcterms:W3CDTF">2025-06-27T08:38:00Z</dcterms:modified>
</cp:coreProperties>
</file>